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353197" w:rsidRDefault="00353197" w:rsidP="00220D32">
      <w:pPr>
        <w:spacing w:after="0" w:line="240" w:lineRule="auto"/>
        <w:jc w:val="both"/>
        <w:rPr>
          <w:rFonts w:ascii="Times New Roman" w:eastAsia="Times New Roman" w:hAnsi="Times New Roman" w:cs="Times New Roman"/>
          <w:b/>
          <w:lang w:eastAsia="bg-BG"/>
        </w:rPr>
      </w:pPr>
      <w:r>
        <w:rPr>
          <w:rFonts w:ascii="Times New Roman" w:eastAsia="Times New Roman" w:hAnsi="Times New Roman" w:cs="Times New Roman"/>
          <w:b/>
          <w:lang w:eastAsia="bg-BG"/>
        </w:rPr>
        <w:t xml:space="preserve"> </w:t>
      </w:r>
    </w:p>
    <w:p w:rsidR="007F672F" w:rsidRPr="003D2040" w:rsidRDefault="007F672F" w:rsidP="007F672F">
      <w:pPr>
        <w:spacing w:after="0" w:line="240" w:lineRule="auto"/>
        <w:jc w:val="both"/>
        <w:rPr>
          <w:rFonts w:ascii="Times New Roman" w:eastAsia="Times New Roman" w:hAnsi="Times New Roman" w:cs="Times New Roman"/>
          <w:i/>
          <w:sz w:val="24"/>
          <w:szCs w:val="24"/>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572D6D">
        <w:trPr>
          <w:trHeight w:val="1475"/>
        </w:trPr>
        <w:tc>
          <w:tcPr>
            <w:tcW w:w="9147" w:type="dxa"/>
            <w:shd w:val="clear" w:color="auto" w:fill="D9D9D9" w:themeFill="background1" w:themeFillShade="D9"/>
            <w:vAlign w:val="center"/>
          </w:tcPr>
          <w:p w:rsidR="0098136F" w:rsidRPr="0098136F" w:rsidRDefault="0098136F" w:rsidP="0098136F">
            <w:pPr>
              <w:jc w:val="center"/>
              <w:rPr>
                <w:rFonts w:ascii="Times New Roman" w:eastAsia="Times New Roman" w:hAnsi="Times New Roman" w:cs="Times New Roman"/>
                <w:b/>
                <w:bCs/>
                <w:lang w:val="en-US"/>
              </w:rPr>
            </w:pPr>
            <w:r w:rsidRPr="0098136F">
              <w:rPr>
                <w:rFonts w:ascii="Times New Roman" w:eastAsia="Times New Roman" w:hAnsi="Times New Roman" w:cs="Times New Roman"/>
                <w:b/>
                <w:bCs/>
              </w:rPr>
              <w:t>ПРОЦЕДУРА ЧРЕЗ ПОДБОР НА ПРОЕКТНИ ПРЕДЛОЖЕНИЯ С НЯКОЛКО КРАЙНИ СРОКА ЗА КАНДИДАТСТВАНЕ</w:t>
            </w:r>
            <w:r w:rsidRPr="0098136F">
              <w:rPr>
                <w:rFonts w:ascii="Times New Roman" w:eastAsia="Times New Roman" w:hAnsi="Times New Roman" w:cs="Times New Roman"/>
                <w:b/>
                <w:bCs/>
                <w:lang w:val="en-US"/>
              </w:rPr>
              <w:t xml:space="preserve"> </w:t>
            </w:r>
            <w:r w:rsidRPr="0098136F">
              <w:rPr>
                <w:rFonts w:ascii="Times New Roman" w:eastAsia="Times New Roman" w:hAnsi="Times New Roman" w:cs="Times New Roman"/>
                <w:b/>
                <w:bCs/>
              </w:rPr>
              <w:t>BG06RDNP001-19.</w:t>
            </w:r>
            <w:r w:rsidR="00F64F25">
              <w:rPr>
                <w:rFonts w:ascii="Times New Roman" w:eastAsia="Times New Roman" w:hAnsi="Times New Roman" w:cs="Times New Roman"/>
                <w:b/>
                <w:bCs/>
              </w:rPr>
              <w:t>511</w:t>
            </w:r>
          </w:p>
          <w:p w:rsidR="00220D32" w:rsidRPr="00D7461A" w:rsidRDefault="0098136F" w:rsidP="0098136F">
            <w:pPr>
              <w:jc w:val="center"/>
              <w:rPr>
                <w:rFonts w:ascii="Times New Roman" w:eastAsiaTheme="majorEastAsia" w:hAnsi="Times New Roman" w:cs="Times New Roman"/>
                <w:b/>
                <w:bCs/>
              </w:rPr>
            </w:pPr>
            <w:r w:rsidRPr="0098136F">
              <w:rPr>
                <w:rFonts w:ascii="Times New Roman" w:eastAsia="Times New Roman" w:hAnsi="Times New Roman" w:cs="Times New Roman"/>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3D2040" w:rsidRDefault="003D2040" w:rsidP="003D2040">
      <w:pPr>
        <w:spacing w:after="0" w:line="240" w:lineRule="auto"/>
        <w:ind w:firstLine="708"/>
        <w:jc w:val="both"/>
        <w:rPr>
          <w:rFonts w:ascii="Times New Roman" w:eastAsia="Times New Roman" w:hAnsi="Times New Roman" w:cs="Times New Roman"/>
          <w:sz w:val="24"/>
          <w:szCs w:val="24"/>
          <w:lang w:val="en-US" w:eastAsia="bg-BG"/>
        </w:rPr>
      </w:pPr>
      <w:bookmarkStart w:id="0" w:name="_Toc520193276"/>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a9"/>
        <w:tblW w:w="9606" w:type="dxa"/>
        <w:tblLook w:val="04A0" w:firstRow="1" w:lastRow="0" w:firstColumn="1" w:lastColumn="0" w:noHBand="0" w:noVBand="1"/>
      </w:tblPr>
      <w:tblGrid>
        <w:gridCol w:w="9606"/>
      </w:tblGrid>
      <w:tr w:rsidR="00A26EFC" w:rsidRPr="00D7461A" w:rsidTr="00572D6D">
        <w:tc>
          <w:tcPr>
            <w:tcW w:w="9606" w:type="dxa"/>
          </w:tcPr>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ярка 4.2</w:t>
            </w:r>
            <w:r w:rsidRPr="0098136F">
              <w:rPr>
                <w:rFonts w:ascii="Times New Roman" w:eastAsia="Times New Roman" w:hAnsi="Times New Roman" w:cs="Times New Roman"/>
                <w:noProof/>
                <w:color w:val="000000"/>
                <w:sz w:val="24"/>
                <w:szCs w:val="24"/>
                <w:lang w:val="fr-BE" w:eastAsia="bg-BG"/>
              </w:rPr>
              <w:t xml:space="preserve"> „Инвестиции в преработка/ маркетинг на селскостопански продукти“</w:t>
            </w:r>
            <w:r w:rsidRPr="0098136F">
              <w:rPr>
                <w:rFonts w:ascii="Times New Roman" w:eastAsia="Times New Roman" w:hAnsi="Times New Roman" w:cs="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ЗУСЕФ</w:t>
            </w:r>
            <w:r w:rsidR="00492B6E">
              <w:rPr>
                <w:rFonts w:ascii="Times New Roman" w:eastAsia="Times New Roman" w:hAnsi="Times New Roman" w:cs="Times New Roman"/>
                <w:sz w:val="24"/>
                <w:szCs w:val="24"/>
                <w:shd w:val="clear" w:color="auto" w:fill="FEFEFE"/>
                <w:lang w:eastAsia="bg-BG"/>
              </w:rPr>
              <w:t>СУ</w:t>
            </w:r>
            <w:r w:rsidRPr="0098136F">
              <w:rPr>
                <w:rFonts w:ascii="Times New Roman" w:eastAsia="Times New Roman" w:hAnsi="Times New Roman" w:cs="Times New Roman"/>
                <w:sz w:val="24"/>
                <w:szCs w:val="24"/>
                <w:shd w:val="clear" w:color="auto" w:fill="FEFEFE"/>
                <w:lang w:eastAsia="bg-BG"/>
              </w:rPr>
              <w:t>.</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 xml:space="preserve">Цел на процедурата: </w:t>
            </w:r>
            <w:r w:rsidRPr="0098136F">
              <w:rPr>
                <w:rFonts w:ascii="Times New Roman" w:hAnsi="Times New Roman" w:cs="Times New Roman"/>
                <w:sz w:val="24"/>
                <w:szCs w:val="24"/>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98136F" w:rsidRPr="0098136F" w:rsidRDefault="0098136F" w:rsidP="0098136F">
            <w:pPr>
              <w:jc w:val="both"/>
              <w:rPr>
                <w:rFonts w:ascii="Times New Roman" w:hAnsi="Times New Roman" w:cs="Times New Roman"/>
                <w:b/>
                <w:sz w:val="24"/>
                <w:szCs w:val="24"/>
              </w:rPr>
            </w:pPr>
            <w:r w:rsidRPr="0098136F">
              <w:rPr>
                <w:rFonts w:ascii="Times New Roman" w:hAnsi="Times New Roman" w:cs="Times New Roman"/>
                <w:b/>
                <w:sz w:val="24"/>
                <w:szCs w:val="24"/>
              </w:rPr>
              <w:t xml:space="preserve">Обосновка: Икономиката на територията е слабо </w:t>
            </w:r>
            <w:proofErr w:type="spellStart"/>
            <w:r w:rsidRPr="0098136F">
              <w:rPr>
                <w:rFonts w:ascii="Times New Roman" w:hAnsi="Times New Roman" w:cs="Times New Roman"/>
                <w:b/>
                <w:sz w:val="24"/>
                <w:szCs w:val="24"/>
              </w:rPr>
              <w:t>диверсифицирана</w:t>
            </w:r>
            <w:proofErr w:type="spellEnd"/>
            <w:r w:rsidRPr="0098136F">
              <w:rPr>
                <w:rFonts w:ascii="Times New Roman" w:hAnsi="Times New Roman" w:cs="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Pr="0098136F">
              <w:rPr>
                <w:rFonts w:ascii="Times New Roman" w:hAnsi="Times New Roman" w:cs="Times New Roman"/>
                <w:sz w:val="24"/>
                <w:szCs w:val="24"/>
              </w:rPr>
              <w:t xml:space="preserve">Липсата на преработвателни предприятия за произвежданата земеделска </w:t>
            </w:r>
            <w:proofErr w:type="spellStart"/>
            <w:r w:rsidRPr="0098136F">
              <w:rPr>
                <w:rFonts w:ascii="Times New Roman" w:hAnsi="Times New Roman" w:cs="Times New Roman"/>
                <w:sz w:val="24"/>
                <w:szCs w:val="24"/>
              </w:rPr>
              <w:t>растениевъдна</w:t>
            </w:r>
            <w:proofErr w:type="spellEnd"/>
            <w:r w:rsidRPr="0098136F">
              <w:rPr>
                <w:rFonts w:ascii="Times New Roman" w:hAnsi="Times New Roman" w:cs="Times New Roman"/>
                <w:sz w:val="24"/>
                <w:szCs w:val="24"/>
              </w:rPr>
              <w:t xml:space="preserve"> и </w:t>
            </w:r>
            <w:r w:rsidRPr="0098136F">
              <w:rPr>
                <w:rFonts w:ascii="Times New Roman" w:hAnsi="Times New Roman" w:cs="Times New Roman"/>
                <w:sz w:val="24"/>
                <w:szCs w:val="24"/>
              </w:rPr>
              <w:lastRenderedPageBreak/>
              <w:t>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734482" w:rsidRPr="00E9570C"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Очакваните резултати</w:t>
            </w:r>
            <w:r w:rsidRPr="0098136F">
              <w:rPr>
                <w:rFonts w:ascii="Times New Roman" w:hAnsi="Times New Roman" w:cs="Times New Roman"/>
                <w:sz w:val="24"/>
                <w:szCs w:val="24"/>
              </w:rPr>
              <w:t xml:space="preserve"> от подкрепата се изразяват в подпомогнати предприятия за инвестиции в преработка и търговия на селскостопански продукти и създадени нови работни места.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Допустими кандидати по настоящата процедура са:</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Земеделски стопани.</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Еднолични търговци и юридически лица, различни от кандидатите по т. 1 и 2.</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Допустими</w:t>
            </w:r>
            <w:r w:rsidRPr="0098136F">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98136F">
              <w:rPr>
                <w:rFonts w:ascii="Times New Roman" w:eastAsia="SimSun" w:hAnsi="Times New Roman" w:cs="Times New Roman"/>
                <w:sz w:val="24"/>
                <w:szCs w:val="24"/>
                <w:lang w:eastAsia="zh-CN"/>
              </w:rPr>
              <w:t xml:space="preserve">Елхово – Болярово. </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Times New Roman" w:hAnsi="Times New Roman" w:cs="Times New Roman"/>
                <w:sz w:val="24"/>
                <w:szCs w:val="24"/>
                <w:lang w:eastAsia="bg-BG"/>
              </w:rPr>
              <w:t>Кандидатите</w:t>
            </w:r>
            <w:r w:rsidRPr="0098136F">
              <w:rPr>
                <w:rFonts w:ascii="Times New Roman" w:eastAsia="SimSun" w:hAnsi="Times New Roman" w:cs="Times New Roman"/>
                <w:sz w:val="24"/>
                <w:szCs w:val="24"/>
                <w:lang w:eastAsia="zh-CN"/>
              </w:rPr>
              <w:t xml:space="preserve"> по т. 2 и 3 трябва да са регистрирани по Търговския закон или Закона за кооперациите.</w:t>
            </w:r>
          </w:p>
          <w:p w:rsidR="0098136F" w:rsidRPr="0098136F" w:rsidRDefault="0098136F" w:rsidP="0098136F">
            <w:pPr>
              <w:widowControl w:val="0"/>
              <w:numPr>
                <w:ilvl w:val="0"/>
                <w:numId w:val="20"/>
              </w:numPr>
              <w:tabs>
                <w:tab w:val="left" w:pos="322"/>
              </w:tabs>
              <w:autoSpaceDE w:val="0"/>
              <w:autoSpaceDN w:val="0"/>
              <w:adjustRightInd w:val="0"/>
              <w:spacing w:before="100" w:beforeAutospacing="1"/>
              <w:contextualSpacing/>
              <w:jc w:val="both"/>
              <w:rPr>
                <w:rFonts w:ascii="Times New Roman" w:eastAsia="Times New Roman" w:hAnsi="Times New Roman" w:cs="Times New Roman"/>
                <w:sz w:val="24"/>
                <w:szCs w:val="24"/>
                <w:lang w:eastAsia="bg-BG"/>
              </w:rPr>
            </w:pPr>
            <w:r w:rsidRPr="0098136F">
              <w:rPr>
                <w:rFonts w:ascii="Times New Roman" w:eastAsia="SimSun" w:hAnsi="Times New Roman" w:cs="Times New Roman"/>
                <w:sz w:val="24"/>
                <w:szCs w:val="24"/>
                <w:lang w:eastAsia="zh-CN"/>
              </w:rPr>
              <w:t>Кандидатите – земеделски стопани</w:t>
            </w:r>
            <w:r w:rsidRPr="0098136F">
              <w:rPr>
                <w:rFonts w:ascii="Times New Roman" w:eastAsia="SimSun" w:hAnsi="Times New Roman" w:cs="Times New Roman"/>
                <w:sz w:val="24"/>
                <w:szCs w:val="24"/>
                <w:lang w:val="en-US" w:eastAsia="zh-CN"/>
              </w:rPr>
              <w:t xml:space="preserve"> </w:t>
            </w:r>
            <w:r w:rsidRPr="0098136F">
              <w:rPr>
                <w:rFonts w:ascii="Times New Roman" w:eastAsia="SimSun" w:hAnsi="Times New Roman" w:cs="Times New Roman"/>
                <w:sz w:val="24"/>
                <w:szCs w:val="24"/>
                <w:lang w:eastAsia="zh-CN"/>
              </w:rPr>
              <w:t>(по т.1)</w:t>
            </w:r>
            <w:r w:rsidRPr="0098136F">
              <w:rPr>
                <w:rFonts w:ascii="Times New Roman" w:eastAsia="Times New Roman" w:hAnsi="Times New Roman" w:cs="Times New Roman"/>
                <w:sz w:val="24"/>
                <w:szCs w:val="24"/>
                <w:lang w:eastAsia="bg-BG"/>
              </w:rPr>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98136F" w:rsidRDefault="0098136F" w:rsidP="00A26EFC">
            <w:pPr>
              <w:jc w:val="both"/>
              <w:rPr>
                <w:rFonts w:ascii="Times New Roman" w:hAnsi="Times New Roman" w:cs="Times New Roman"/>
                <w:b/>
                <w:sz w:val="24"/>
                <w:szCs w:val="24"/>
                <w:u w:val="single"/>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6576C4" w:rsidRPr="00A26EFC" w:rsidRDefault="006576C4" w:rsidP="006576C4">
      <w:pPr>
        <w:keepNext/>
        <w:keepLines/>
        <w:numPr>
          <w:ilvl w:val="0"/>
          <w:numId w:val="24"/>
        </w:numPr>
        <w:spacing w:before="240" w:after="0"/>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9606" w:type="dxa"/>
        <w:tblLook w:val="04A0" w:firstRow="1" w:lastRow="0" w:firstColumn="1" w:lastColumn="0" w:noHBand="0" w:noVBand="1"/>
      </w:tblPr>
      <w:tblGrid>
        <w:gridCol w:w="9606"/>
      </w:tblGrid>
      <w:tr w:rsidR="006576C4" w:rsidRPr="00A26EFC" w:rsidTr="00005376">
        <w:tc>
          <w:tcPr>
            <w:tcW w:w="9606" w:type="dxa"/>
          </w:tcPr>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Pr="0098136F">
              <w:rPr>
                <w:rFonts w:ascii="Calibri" w:eastAsia="Calibri" w:hAnsi="Calibri" w:cs="Times New Roman"/>
              </w:rPr>
              <w:t xml:space="preserve"> </w:t>
            </w:r>
          </w:p>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b/>
                <w:color w:val="000000"/>
                <w:sz w:val="24"/>
                <w:szCs w:val="24"/>
              </w:rPr>
              <w:t>Обхват на дейностите:</w:t>
            </w:r>
            <w:r w:rsidRPr="0098136F">
              <w:rPr>
                <w:rFonts w:ascii="Times New Roman" w:eastAsia="Calibri" w:hAnsi="Times New Roman" w:cs="Times New Roman"/>
                <w:color w:val="000000"/>
                <w:sz w:val="24"/>
                <w:szCs w:val="24"/>
              </w:rPr>
              <w:t xml:space="preserve"> </w:t>
            </w:r>
            <w:r w:rsidRPr="0098136F">
              <w:rPr>
                <w:rFonts w:ascii="Times New Roman" w:eastAsia="Calibri" w:hAnsi="Times New Roman" w:cs="Times New Roman"/>
                <w:sz w:val="24"/>
                <w:szCs w:val="24"/>
              </w:rPr>
              <w:t>Допустими са само дейности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на територията на МИГ, които са за:</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1. внедряване на нови и/или модернизиране на наличните мощности и подобряване на използването им,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2. внедряване на нови продукти, процеси и технологии, и/или</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3. намаляване на себестойността на произвежданата продукция,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4. постигане на съответствие с ново въведени стандарти на ЕС,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5. подобряване на сътрудничеството с производителите на суровини,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lastRenderedPageBreak/>
              <w:t xml:space="preserve">7. подобряване на енергийната ефективност в предприятията,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8. подобряване на безопасността и хигиенните условия на производство и труд,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9. подобряване на качеството и безопасността на храните и тяхната </w:t>
            </w:r>
            <w:proofErr w:type="spellStart"/>
            <w:r w:rsidRPr="0098136F">
              <w:rPr>
                <w:rFonts w:ascii="Times New Roman" w:eastAsia="Times New Roman" w:hAnsi="Times New Roman" w:cs="Times New Roman"/>
                <w:color w:val="000000"/>
                <w:sz w:val="24"/>
                <w:szCs w:val="24"/>
                <w:lang w:eastAsia="bg-BG"/>
              </w:rPr>
              <w:t>проследяемост</w:t>
            </w:r>
            <w:proofErr w:type="spellEnd"/>
            <w:r w:rsidRPr="0098136F">
              <w:rPr>
                <w:rFonts w:ascii="Times New Roman" w:eastAsia="Times New Roman" w:hAnsi="Times New Roman" w:cs="Times New Roman"/>
                <w:color w:val="000000"/>
                <w:sz w:val="24"/>
                <w:szCs w:val="24"/>
                <w:lang w:eastAsia="bg-BG"/>
              </w:rPr>
              <w:t xml:space="preserve">,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p w:rsidR="006576C4" w:rsidRPr="000B78AF" w:rsidRDefault="006576C4" w:rsidP="00005376">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34482" w:rsidRPr="00734482"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572D6D">
        <w:tc>
          <w:tcPr>
            <w:tcW w:w="9606" w:type="dxa"/>
            <w:shd w:val="clear" w:color="auto" w:fill="auto"/>
          </w:tcPr>
          <w:p w:rsidR="0098136F" w:rsidRPr="00277EDC" w:rsidRDefault="0098136F" w:rsidP="00572D6D">
            <w:pPr>
              <w:spacing w:after="0"/>
              <w:jc w:val="both"/>
              <w:rPr>
                <w:rFonts w:ascii="Times New Roman" w:hAnsi="Times New Roman"/>
                <w:sz w:val="24"/>
                <w:szCs w:val="24"/>
              </w:rPr>
            </w:pPr>
            <w:r w:rsidRPr="00277EDC">
              <w:rPr>
                <w:rFonts w:ascii="Times New Roman" w:hAnsi="Times New Roman"/>
                <w:b/>
                <w:sz w:val="24"/>
                <w:szCs w:val="24"/>
              </w:rPr>
              <w:t>Допустими  разходи</w:t>
            </w:r>
            <w:r w:rsidRPr="00277EDC">
              <w:rPr>
                <w:rFonts w:ascii="Times New Roman" w:hAnsi="Times New Roman"/>
                <w:sz w:val="24"/>
                <w:szCs w:val="24"/>
              </w:rPr>
              <w:t>, съгласно чл.20, ал. 1 от Наредба № 22 от 14.12.2015 г., са:</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1. инвестиционни разходи по чл. 45 от Регламент (EC) № 1305/2013</w:t>
            </w:r>
            <w:r w:rsidRPr="00277EDC">
              <w:rPr>
                <w:rStyle w:val="ad"/>
                <w:rFonts w:ascii="Times New Roman" w:hAnsi="Times New Roman"/>
                <w:sz w:val="24"/>
                <w:szCs w:val="24"/>
              </w:rPr>
              <w:footnoteReference w:id="1"/>
            </w:r>
            <w:r w:rsidRPr="00277EDC">
              <w:rPr>
                <w:rFonts w:ascii="Times New Roman" w:hAnsi="Times New Roman"/>
                <w:sz w:val="24"/>
                <w:szCs w:val="24"/>
              </w:rPr>
              <w:t>;</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77EDC">
              <w:rPr>
                <w:rFonts w:ascii="Times New Roman" w:hAnsi="Times New Roman"/>
                <w:sz w:val="24"/>
                <w:szCs w:val="24"/>
              </w:rPr>
              <w:t>съфинансирани</w:t>
            </w:r>
            <w:proofErr w:type="spellEnd"/>
            <w:r w:rsidRPr="00277EDC">
              <w:rPr>
                <w:rFonts w:ascii="Times New Roman" w:hAnsi="Times New Roman"/>
                <w:sz w:val="24"/>
                <w:szCs w:val="24"/>
              </w:rPr>
              <w:t xml:space="preserve"> от Европейските структурни и инвестиционни фондове, за програмен период 2014 - 2020 г.;</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98136F" w:rsidRPr="00277EDC" w:rsidRDefault="0098136F" w:rsidP="00572D6D">
            <w:pPr>
              <w:widowControl w:val="0"/>
              <w:autoSpaceDE w:val="0"/>
              <w:autoSpaceDN w:val="0"/>
              <w:adjustRightInd w:val="0"/>
              <w:spacing w:after="0"/>
              <w:jc w:val="both"/>
              <w:rPr>
                <w:rFonts w:ascii="Times New Roman" w:hAnsi="Times New Roman"/>
                <w:b/>
                <w:sz w:val="24"/>
                <w:szCs w:val="24"/>
              </w:rPr>
            </w:pPr>
          </w:p>
          <w:p w:rsidR="0098136F" w:rsidRPr="00277EDC" w:rsidRDefault="0098136F" w:rsidP="00572D6D">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 по настоящата процедура са следните разходи:</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w:t>
                  </w:r>
                  <w:r w:rsidRPr="00277EDC">
                    <w:rPr>
                      <w:rFonts w:ascii="Times New Roman" w:eastAsia="Times New Roman" w:hAnsi="Times New Roman"/>
                      <w:shd w:val="clear" w:color="auto" w:fill="FEFEFE"/>
                      <w:lang w:eastAsia="bg-BG"/>
                    </w:rPr>
                    <w:lastRenderedPageBreak/>
                    <w:t>минимум на страданията им по време на клане</w:t>
                  </w:r>
                </w:p>
              </w:tc>
            </w:tr>
          </w:tbl>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98136F" w:rsidRPr="00277EDC" w:rsidRDefault="0098136F" w:rsidP="00572D6D">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773E91" w:rsidRPr="00773E91" w:rsidRDefault="00773E91" w:rsidP="00773E91">
            <w:pPr>
              <w:tabs>
                <w:tab w:val="left" w:pos="0"/>
                <w:tab w:val="left" w:pos="709"/>
              </w:tabs>
              <w:jc w:val="both"/>
              <w:rPr>
                <w:rFonts w:ascii="Times New Roman" w:eastAsia="Calibri" w:hAnsi="Times New Roman" w:cs="Times New Roman"/>
                <w:sz w:val="24"/>
                <w:szCs w:val="24"/>
              </w:rPr>
            </w:pPr>
            <w:r w:rsidRPr="00773E91">
              <w:rPr>
                <w:rFonts w:ascii="Times New Roman" w:eastAsia="Calibri" w:hAnsi="Times New Roman" w:cs="Times New Roman"/>
                <w:sz w:val="24"/>
                <w:szCs w:val="24"/>
              </w:rPr>
              <w:t>Процедурата е с няколко крайни срока за кандидатстване, които се определят, както следва:</w:t>
            </w:r>
          </w:p>
          <w:p w:rsidR="00773E91" w:rsidRPr="00773E91" w:rsidRDefault="008911FB" w:rsidP="00773E91">
            <w:pPr>
              <w:ind w:left="22"/>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Седми</w:t>
            </w:r>
            <w:r w:rsidR="001F71AD" w:rsidRPr="001F71AD">
              <w:rPr>
                <w:rFonts w:ascii="Times New Roman" w:eastAsia="Calibri" w:hAnsi="Times New Roman" w:cs="Times New Roman"/>
                <w:b/>
                <w:sz w:val="24"/>
                <w:szCs w:val="24"/>
                <w:u w:val="single"/>
              </w:rPr>
              <w:t xml:space="preserve"> прием</w:t>
            </w:r>
            <w:r w:rsidR="00773E91" w:rsidRPr="00773E91">
              <w:rPr>
                <w:rFonts w:ascii="Times New Roman" w:eastAsia="Calibri" w:hAnsi="Times New Roman" w:cs="Times New Roman"/>
                <w:b/>
                <w:sz w:val="24"/>
                <w:szCs w:val="24"/>
                <w:u w:val="single"/>
              </w:rPr>
              <w:t>:</w:t>
            </w:r>
          </w:p>
          <w:p w:rsidR="00773E91" w:rsidRPr="00773E91" w:rsidRDefault="00773E91" w:rsidP="00773E91">
            <w:pPr>
              <w:ind w:left="22"/>
              <w:jc w:val="both"/>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 xml:space="preserve">Начален срок: </w:t>
            </w:r>
            <w:r w:rsidR="004C3134">
              <w:rPr>
                <w:rFonts w:ascii="Times New Roman" w:eastAsia="Calibri" w:hAnsi="Times New Roman" w:cs="Times New Roman"/>
                <w:b/>
                <w:sz w:val="24"/>
                <w:szCs w:val="24"/>
                <w:u w:val="single"/>
              </w:rPr>
              <w:t>0</w:t>
            </w:r>
            <w:r w:rsidR="008911FB">
              <w:rPr>
                <w:rFonts w:ascii="Times New Roman" w:eastAsia="Calibri" w:hAnsi="Times New Roman" w:cs="Times New Roman"/>
                <w:b/>
                <w:sz w:val="24"/>
                <w:szCs w:val="24"/>
                <w:u w:val="single"/>
              </w:rPr>
              <w:t>3</w:t>
            </w:r>
            <w:r w:rsidR="004C3134">
              <w:rPr>
                <w:rFonts w:ascii="Times New Roman" w:eastAsia="Calibri" w:hAnsi="Times New Roman" w:cs="Times New Roman"/>
                <w:b/>
                <w:sz w:val="24"/>
                <w:szCs w:val="24"/>
                <w:u w:val="single"/>
              </w:rPr>
              <w:t>.0</w:t>
            </w:r>
            <w:r w:rsidR="008911FB">
              <w:rPr>
                <w:rFonts w:ascii="Times New Roman" w:eastAsia="Calibri" w:hAnsi="Times New Roman" w:cs="Times New Roman"/>
                <w:b/>
                <w:sz w:val="24"/>
                <w:szCs w:val="24"/>
                <w:u w:val="single"/>
              </w:rPr>
              <w:t>7</w:t>
            </w:r>
            <w:r w:rsidR="004C3134">
              <w:rPr>
                <w:rFonts w:ascii="Times New Roman" w:eastAsia="Calibri" w:hAnsi="Times New Roman" w:cs="Times New Roman"/>
                <w:b/>
                <w:sz w:val="24"/>
                <w:szCs w:val="24"/>
                <w:u w:val="single"/>
              </w:rPr>
              <w:t>.2023</w:t>
            </w:r>
            <w:r w:rsidRPr="00773E91">
              <w:rPr>
                <w:rFonts w:ascii="Times New Roman" w:eastAsia="Calibri" w:hAnsi="Times New Roman" w:cs="Times New Roman"/>
                <w:b/>
                <w:sz w:val="24"/>
                <w:szCs w:val="24"/>
                <w:u w:val="single"/>
                <w:lang w:val="en-US"/>
              </w:rPr>
              <w:t xml:space="preserve"> г.</w:t>
            </w:r>
          </w:p>
          <w:p w:rsidR="00773E91" w:rsidRPr="00773E91" w:rsidRDefault="001F71AD" w:rsidP="00773E91">
            <w:pPr>
              <w:ind w:left="22"/>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Краен срок: </w:t>
            </w:r>
            <w:r w:rsidR="008911FB">
              <w:rPr>
                <w:rFonts w:ascii="Times New Roman" w:eastAsia="Calibri" w:hAnsi="Times New Roman" w:cs="Times New Roman"/>
                <w:b/>
                <w:sz w:val="24"/>
                <w:szCs w:val="24"/>
                <w:u w:val="single"/>
              </w:rPr>
              <w:t>0</w:t>
            </w:r>
            <w:r w:rsidR="004C3134">
              <w:rPr>
                <w:rFonts w:ascii="Times New Roman" w:eastAsia="Calibri" w:hAnsi="Times New Roman" w:cs="Times New Roman"/>
                <w:b/>
                <w:sz w:val="24"/>
                <w:szCs w:val="24"/>
                <w:u w:val="single"/>
              </w:rPr>
              <w:t>6.0</w:t>
            </w:r>
            <w:r w:rsidR="008911FB">
              <w:rPr>
                <w:rFonts w:ascii="Times New Roman" w:eastAsia="Calibri" w:hAnsi="Times New Roman" w:cs="Times New Roman"/>
                <w:b/>
                <w:sz w:val="24"/>
                <w:szCs w:val="24"/>
                <w:u w:val="single"/>
              </w:rPr>
              <w:t>8</w:t>
            </w:r>
            <w:r w:rsidR="004C3134">
              <w:rPr>
                <w:rFonts w:ascii="Times New Roman" w:eastAsia="Calibri" w:hAnsi="Times New Roman" w:cs="Times New Roman"/>
                <w:b/>
                <w:sz w:val="24"/>
                <w:szCs w:val="24"/>
                <w:u w:val="single"/>
              </w:rPr>
              <w:t>.</w:t>
            </w:r>
            <w:r w:rsidR="00773E91" w:rsidRPr="00773E91">
              <w:rPr>
                <w:rFonts w:ascii="Times New Roman" w:eastAsia="Calibri" w:hAnsi="Times New Roman" w:cs="Times New Roman"/>
                <w:b/>
                <w:sz w:val="24"/>
                <w:szCs w:val="24"/>
                <w:u w:val="single"/>
              </w:rPr>
              <w:t>202</w:t>
            </w:r>
            <w:r w:rsidR="003C65C6">
              <w:rPr>
                <w:rFonts w:ascii="Times New Roman" w:eastAsia="Calibri" w:hAnsi="Times New Roman" w:cs="Times New Roman"/>
                <w:b/>
                <w:sz w:val="24"/>
                <w:szCs w:val="24"/>
                <w:u w:val="single"/>
              </w:rPr>
              <w:t>3</w:t>
            </w:r>
            <w:r w:rsidR="00773E91" w:rsidRPr="00773E91">
              <w:rPr>
                <w:rFonts w:ascii="Times New Roman" w:eastAsia="Calibri" w:hAnsi="Times New Roman" w:cs="Times New Roman"/>
                <w:b/>
                <w:sz w:val="24"/>
                <w:szCs w:val="24"/>
                <w:u w:val="single"/>
                <w:lang w:val="en-US"/>
              </w:rPr>
              <w:t xml:space="preserve"> г. 17.00 </w:t>
            </w:r>
            <w:proofErr w:type="spellStart"/>
            <w:r w:rsidR="00773E91" w:rsidRPr="00773E91">
              <w:rPr>
                <w:rFonts w:ascii="Times New Roman" w:eastAsia="Calibri" w:hAnsi="Times New Roman" w:cs="Times New Roman"/>
                <w:b/>
                <w:sz w:val="24"/>
                <w:szCs w:val="24"/>
                <w:u w:val="single"/>
                <w:lang w:val="en-US"/>
              </w:rPr>
              <w:t>часа</w:t>
            </w:r>
            <w:proofErr w:type="spellEnd"/>
            <w:r w:rsidR="00773E91" w:rsidRPr="00773E91">
              <w:rPr>
                <w:rFonts w:ascii="Times New Roman" w:eastAsia="Calibri" w:hAnsi="Times New Roman" w:cs="Times New Roman"/>
                <w:b/>
                <w:sz w:val="24"/>
                <w:szCs w:val="24"/>
                <w:u w:val="single"/>
                <w:lang w:val="en-US"/>
              </w:rPr>
              <w:t>.</w:t>
            </w:r>
          </w:p>
          <w:p w:rsidR="00773E91" w:rsidRPr="00773E91" w:rsidRDefault="00773E91" w:rsidP="00773E91">
            <w:pPr>
              <w:ind w:left="22"/>
              <w:jc w:val="both"/>
              <w:rPr>
                <w:rFonts w:ascii="Times New Roman" w:eastAsia="Calibri" w:hAnsi="Times New Roman" w:cs="Times New Roman"/>
                <w:b/>
                <w:sz w:val="24"/>
                <w:szCs w:val="24"/>
                <w:u w:val="single"/>
              </w:rPr>
            </w:pPr>
          </w:p>
          <w:p w:rsidR="00773E91" w:rsidRPr="00773E91" w:rsidRDefault="008911FB" w:rsidP="00773E91">
            <w:pP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Осми</w:t>
            </w:r>
            <w:r w:rsidR="001F71AD">
              <w:rPr>
                <w:rFonts w:ascii="Times New Roman" w:eastAsia="Calibri" w:hAnsi="Times New Roman" w:cs="Times New Roman"/>
                <w:b/>
                <w:sz w:val="24"/>
                <w:szCs w:val="24"/>
                <w:u w:val="single"/>
              </w:rPr>
              <w:t xml:space="preserve"> прием</w:t>
            </w:r>
            <w:r w:rsidR="00773E91" w:rsidRPr="00773E91">
              <w:rPr>
                <w:rFonts w:ascii="Times New Roman" w:eastAsia="Calibri" w:hAnsi="Times New Roman" w:cs="Times New Roman"/>
                <w:b/>
                <w:sz w:val="24"/>
                <w:szCs w:val="24"/>
                <w:u w:val="single"/>
              </w:rPr>
              <w:t xml:space="preserve">: при наличие на остатъчни средства след </w:t>
            </w:r>
            <w:r>
              <w:rPr>
                <w:rFonts w:ascii="Times New Roman" w:eastAsia="Calibri" w:hAnsi="Times New Roman" w:cs="Times New Roman"/>
                <w:b/>
                <w:sz w:val="24"/>
                <w:szCs w:val="24"/>
                <w:u w:val="single"/>
              </w:rPr>
              <w:t>седми</w:t>
            </w:r>
            <w:bookmarkStart w:id="3" w:name="_GoBack"/>
            <w:bookmarkEnd w:id="3"/>
            <w:r w:rsidR="00773E91" w:rsidRPr="00773E91">
              <w:rPr>
                <w:rFonts w:ascii="Times New Roman" w:eastAsia="Calibri" w:hAnsi="Times New Roman" w:cs="Times New Roman"/>
                <w:b/>
                <w:sz w:val="24"/>
                <w:szCs w:val="24"/>
                <w:u w:val="single"/>
              </w:rPr>
              <w:t xml:space="preserve"> прием.</w:t>
            </w:r>
          </w:p>
          <w:p w:rsidR="00E52DF0" w:rsidRPr="00BD17BE" w:rsidRDefault="00E52DF0" w:rsidP="00BD17BE">
            <w:pPr>
              <w:ind w:left="22"/>
              <w:jc w:val="both"/>
              <w:rPr>
                <w:rFonts w:ascii="Times New Roman" w:eastAsia="Calibri" w:hAnsi="Times New Roman" w:cs="Times New Roman"/>
                <w:b/>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880E74" w:rsidRPr="0076706C" w:rsidTr="00880E74">
        <w:tc>
          <w:tcPr>
            <w:tcW w:w="9606" w:type="dxa"/>
            <w:tcBorders>
              <w:bottom w:val="single" w:sz="4" w:space="0" w:color="auto"/>
            </w:tcBorders>
          </w:tcPr>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r w:rsidRPr="000707BF">
              <w:rPr>
                <w:rFonts w:ascii="Times New Roman" w:eastAsia="Calibri" w:hAnsi="Times New Roman" w:cs="Times New Roman"/>
                <w:sz w:val="24"/>
                <w:szCs w:val="24"/>
              </w:rPr>
              <w:t>Общият размер на безвъзмездната финансова помощ по настоящата процедура (след проведени два приема по друга процедура) е както следва:</w:t>
            </w:r>
          </w:p>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707BF" w:rsidRPr="000707BF" w:rsidTr="0078343A">
              <w:tc>
                <w:tcPr>
                  <w:tcW w:w="2875"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 xml:space="preserve">Национално </w:t>
                  </w:r>
                  <w:proofErr w:type="spellStart"/>
                  <w:r w:rsidRPr="000707BF">
                    <w:rPr>
                      <w:rFonts w:ascii="Times New Roman" w:eastAsia="Calibri" w:hAnsi="Times New Roman" w:cs="Times New Roman"/>
                      <w:b/>
                      <w:sz w:val="24"/>
                      <w:szCs w:val="24"/>
                    </w:rPr>
                    <w:t>съфинансиране</w:t>
                  </w:r>
                  <w:proofErr w:type="spellEnd"/>
                </w:p>
              </w:tc>
            </w:tr>
            <w:tr w:rsidR="00BB3936" w:rsidRPr="000707BF" w:rsidTr="0078343A">
              <w:trPr>
                <w:trHeight w:val="172"/>
              </w:trPr>
              <w:tc>
                <w:tcPr>
                  <w:tcW w:w="2875"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lang w:eastAsia="en-IE"/>
                    </w:rPr>
                    <w:t>188 213,55 лева</w:t>
                  </w:r>
                </w:p>
              </w:tc>
              <w:tc>
                <w:tcPr>
                  <w:tcW w:w="3112"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 xml:space="preserve">169 392,20 </w:t>
                  </w:r>
                  <w:r w:rsidRPr="00623DEA">
                    <w:rPr>
                      <w:rFonts w:ascii="Times New Roman" w:hAnsi="Times New Roman"/>
                      <w:sz w:val="24"/>
                      <w:szCs w:val="24"/>
                    </w:rPr>
                    <w:t xml:space="preserve"> лева</w:t>
                  </w:r>
                </w:p>
              </w:tc>
              <w:tc>
                <w:tcPr>
                  <w:tcW w:w="2994"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18 821,35</w:t>
                  </w:r>
                  <w:r w:rsidRPr="00623DEA">
                    <w:rPr>
                      <w:rFonts w:ascii="Times New Roman" w:hAnsi="Times New Roman"/>
                      <w:sz w:val="24"/>
                      <w:szCs w:val="24"/>
                    </w:rPr>
                    <w:t xml:space="preserve"> лева</w:t>
                  </w:r>
                </w:p>
              </w:tc>
            </w:tr>
          </w:tbl>
          <w:p w:rsidR="000707BF" w:rsidRPr="000707BF" w:rsidRDefault="000707BF" w:rsidP="000707BF">
            <w:pPr>
              <w:jc w:val="both"/>
              <w:rPr>
                <w:rFonts w:ascii="Times New Roman" w:eastAsia="Calibri" w:hAnsi="Times New Roman" w:cs="Times New Roman"/>
                <w:sz w:val="24"/>
                <w:szCs w:val="24"/>
              </w:rPr>
            </w:pPr>
            <w:r w:rsidRPr="000707BF">
              <w:rPr>
                <w:rFonts w:ascii="Times New Roman" w:eastAsia="Calibri" w:hAnsi="Times New Roman" w:cs="Times New Roman"/>
                <w:sz w:val="24"/>
                <w:szCs w:val="24"/>
              </w:rPr>
              <w:lastRenderedPageBreak/>
              <w:t>Безвъзмездната финансова помощ се предоставя в лева.</w:t>
            </w:r>
          </w:p>
          <w:p w:rsidR="000707BF" w:rsidRPr="000707BF" w:rsidRDefault="000707BF" w:rsidP="000707B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0707BF">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880E74" w:rsidRPr="00353644" w:rsidRDefault="00880E74" w:rsidP="00572D6D">
            <w:pPr>
              <w:widowControl w:val="0"/>
              <w:autoSpaceDE w:val="0"/>
              <w:autoSpaceDN w:val="0"/>
              <w:adjustRightInd w:val="0"/>
              <w:jc w:val="both"/>
              <w:rPr>
                <w:rFonts w:ascii="Times New Roman" w:hAnsi="Times New Roman"/>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F034B4" w:rsidRPr="00D7461A" w:rsidTr="00880E74">
        <w:tc>
          <w:tcPr>
            <w:tcW w:w="9606" w:type="dxa"/>
          </w:tcPr>
          <w:p w:rsidR="00CE09F8" w:rsidRPr="00CE09F8" w:rsidRDefault="00CE09F8" w:rsidP="00CE09F8">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конкретен проект: </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w:t>
            </w:r>
            <w:proofErr w:type="spellStart"/>
            <w:r w:rsidRPr="00CE09F8">
              <w:rPr>
                <w:rFonts w:ascii="Times New Roman" w:eastAsia="Times New Roman" w:hAnsi="Times New Roman" w:cs="Times New Roman"/>
                <w:color w:val="000000"/>
                <w:sz w:val="24"/>
                <w:szCs w:val="24"/>
                <w:lang w:eastAsia="sr-Cyrl-CS"/>
              </w:rPr>
              <w:t>микро-</w:t>
            </w:r>
            <w:proofErr w:type="spellEnd"/>
            <w:r w:rsidRPr="00CE09F8">
              <w:rPr>
                <w:rFonts w:ascii="Times New Roman" w:eastAsia="Times New Roman" w:hAnsi="Times New Roman" w:cs="Times New Roman"/>
                <w:color w:val="000000"/>
                <w:sz w:val="24"/>
                <w:szCs w:val="24"/>
                <w:lang w:eastAsia="sr-Cyrl-CS"/>
              </w:rPr>
              <w:t>, малко или средно предприятие</w:t>
            </w:r>
            <w:r w:rsidRPr="00CE09F8">
              <w:rPr>
                <w:rFonts w:ascii="Times New Roman" w:eastAsia="Times New Roman" w:hAnsi="Times New Roman" w:cs="Times New Roman"/>
                <w:color w:val="000000"/>
                <w:sz w:val="24"/>
                <w:szCs w:val="24"/>
                <w:vertAlign w:val="superscript"/>
                <w:lang w:eastAsia="sr-Cyrl-CS"/>
              </w:rPr>
              <w:footnoteReference w:id="2"/>
            </w:r>
            <w:r w:rsidRPr="00CE09F8">
              <w:rPr>
                <w:rFonts w:ascii="Times New Roman" w:eastAsia="Times New Roman" w:hAnsi="Times New Roman" w:cs="Times New Roman"/>
                <w:color w:val="000000"/>
                <w:sz w:val="24"/>
                <w:szCs w:val="24"/>
                <w:lang w:eastAsia="sr-Cyrl-CS"/>
              </w:rPr>
              <w:t xml:space="preserve">, е левовата равностойност на </w:t>
            </w:r>
            <w:r w:rsidRPr="00CE09F8">
              <w:rPr>
                <w:rFonts w:ascii="Times New Roman" w:eastAsia="Times New Roman" w:hAnsi="Times New Roman" w:cs="Times New Roman"/>
                <w:color w:val="000000"/>
                <w:sz w:val="24"/>
                <w:szCs w:val="24"/>
                <w:lang w:val="en-US" w:eastAsia="sr-Cyrl-CS"/>
              </w:rPr>
              <w:t>5000</w:t>
            </w:r>
            <w:r w:rsidRPr="00CE09F8">
              <w:rPr>
                <w:rFonts w:ascii="Times New Roman" w:eastAsia="Times New Roman" w:hAnsi="Times New Roman" w:cs="Times New Roman"/>
                <w:color w:val="000000"/>
                <w:sz w:val="24"/>
                <w:szCs w:val="24"/>
                <w:lang w:eastAsia="sr-Cyrl-CS"/>
              </w:rPr>
              <w:t xml:space="preserve"> евро (</w:t>
            </w:r>
            <w:r w:rsidRPr="00CE09F8">
              <w:rPr>
                <w:rFonts w:ascii="Times New Roman" w:eastAsia="Times New Roman" w:hAnsi="Times New Roman" w:cs="Times New Roman"/>
                <w:color w:val="000000"/>
                <w:sz w:val="24"/>
                <w:szCs w:val="24"/>
                <w:lang w:val="en-US" w:eastAsia="sr-Cyrl-CS"/>
              </w:rPr>
              <w:t>9779</w:t>
            </w:r>
            <w:r w:rsidRPr="00CE09F8">
              <w:rPr>
                <w:rFonts w:ascii="Times New Roman" w:eastAsia="Times New Roman" w:hAnsi="Times New Roman" w:cs="Times New Roman"/>
                <w:color w:val="000000"/>
                <w:sz w:val="24"/>
                <w:szCs w:val="24"/>
                <w:lang w:eastAsia="sr-Cyrl-CS"/>
              </w:rPr>
              <w:t>,</w:t>
            </w:r>
            <w:r w:rsidRPr="00CE09F8">
              <w:rPr>
                <w:rFonts w:ascii="Times New Roman" w:eastAsia="Times New Roman" w:hAnsi="Times New Roman" w:cs="Times New Roman"/>
                <w:color w:val="000000"/>
                <w:sz w:val="24"/>
                <w:szCs w:val="24"/>
                <w:lang w:val="en-US" w:eastAsia="sr-Cyrl-CS"/>
              </w:rPr>
              <w:t>00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голямо предприятие</w:t>
            </w:r>
            <w:r w:rsidRPr="00CE09F8">
              <w:rPr>
                <w:rFonts w:ascii="Times New Roman" w:eastAsia="Times New Roman" w:hAnsi="Times New Roman" w:cs="Times New Roman"/>
                <w:color w:val="000000"/>
                <w:sz w:val="24"/>
                <w:szCs w:val="24"/>
                <w:vertAlign w:val="superscript"/>
                <w:lang w:eastAsia="sr-Cyrl-CS"/>
              </w:rPr>
              <w:footnoteReference w:id="3"/>
            </w:r>
            <w:r w:rsidRPr="00CE09F8">
              <w:rPr>
                <w:rFonts w:ascii="Times New Roman" w:eastAsia="Times New Roman" w:hAnsi="Times New Roman" w:cs="Times New Roman"/>
                <w:color w:val="000000"/>
                <w:sz w:val="24"/>
                <w:szCs w:val="24"/>
                <w:lang w:eastAsia="sr-Cyrl-CS"/>
              </w:rPr>
              <w:t>, е левовата равностойност на 4</w:t>
            </w:r>
            <w:r w:rsidRPr="00CE09F8">
              <w:rPr>
                <w:rFonts w:ascii="Times New Roman" w:eastAsia="Times New Roman" w:hAnsi="Times New Roman" w:cs="Times New Roman"/>
                <w:color w:val="000000"/>
                <w:sz w:val="24"/>
                <w:szCs w:val="24"/>
                <w:lang w:val="en-US" w:eastAsia="sr-Cyrl-CS"/>
              </w:rPr>
              <w:t>000</w:t>
            </w:r>
            <w:r w:rsidRPr="00CE09F8">
              <w:rPr>
                <w:rFonts w:ascii="Times New Roman" w:eastAsia="Times New Roman" w:hAnsi="Times New Roman" w:cs="Times New Roman"/>
                <w:color w:val="000000"/>
                <w:sz w:val="24"/>
                <w:szCs w:val="24"/>
                <w:lang w:eastAsia="sr-Cyrl-CS"/>
              </w:rPr>
              <w:t xml:space="preserve"> евро (7823,</w:t>
            </w:r>
            <w:r w:rsidRPr="00CE09F8">
              <w:rPr>
                <w:rFonts w:ascii="Times New Roman" w:eastAsia="Times New Roman" w:hAnsi="Times New Roman" w:cs="Times New Roman"/>
                <w:color w:val="000000"/>
                <w:sz w:val="24"/>
                <w:szCs w:val="24"/>
                <w:lang w:val="en-US" w:eastAsia="sr-Cyrl-CS"/>
              </w:rPr>
              <w:t>20</w:t>
            </w:r>
            <w:r w:rsidRPr="00CE09F8">
              <w:rPr>
                <w:rFonts w:ascii="Times New Roman" w:eastAsia="Times New Roman" w:hAnsi="Times New Roman" w:cs="Times New Roman"/>
                <w:color w:val="000000"/>
                <w:sz w:val="24"/>
                <w:szCs w:val="24"/>
                <w:lang w:eastAsia="sr-Cyrl-CS"/>
              </w:rPr>
              <w:t xml:space="preserve"> лева)</w:t>
            </w:r>
          </w:p>
          <w:p w:rsidR="002346EE" w:rsidRPr="002346EE" w:rsidRDefault="002346EE" w:rsidP="002346EE">
            <w:pPr>
              <w:pStyle w:val="ae"/>
              <w:numPr>
                <w:ilvl w:val="0"/>
                <w:numId w:val="10"/>
              </w:numPr>
              <w:jc w:val="both"/>
              <w:rPr>
                <w:color w:val="000000"/>
                <w:lang w:eastAsia="sr-Cyrl-CS"/>
              </w:rPr>
            </w:pPr>
            <w:r w:rsidRPr="00DF519D">
              <w:rPr>
                <w:color w:val="000000"/>
                <w:lang w:eastAsia="sr-Cyrl-CS"/>
              </w:rPr>
              <w:t>Максималният размер на безвъзмездната финансова помощ</w:t>
            </w:r>
            <w:r w:rsidR="00DF519D">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предвид наличния бюджет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CE09F8" w:rsidRPr="00CE09F8" w:rsidRDefault="00CE09F8" w:rsidP="00CE09F8">
            <w:pPr>
              <w:widowControl w:val="0"/>
              <w:tabs>
                <w:tab w:val="left" w:pos="284"/>
              </w:tabs>
              <w:autoSpaceDE w:val="0"/>
              <w:autoSpaceDN w:val="0"/>
              <w:adjustRightInd w:val="0"/>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 xml:space="preserve">общите допустими разходи </w:t>
            </w:r>
            <w:r w:rsidRPr="00CE09F8">
              <w:rPr>
                <w:rFonts w:ascii="Times New Roman" w:eastAsia="Times New Roman" w:hAnsi="Times New Roman" w:cs="Times New Roman"/>
                <w:color w:val="000000"/>
                <w:sz w:val="24"/>
                <w:szCs w:val="24"/>
                <w:lang w:eastAsia="sr-Cyrl-CS"/>
              </w:rPr>
              <w:t>за конкретен проект:</w:t>
            </w:r>
          </w:p>
          <w:p w:rsidR="00CE09F8" w:rsidRPr="00CE09F8" w:rsidRDefault="00CE09F8" w:rsidP="00CE09F8">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F034B4" w:rsidRPr="00443EB7" w:rsidRDefault="00CE09F8" w:rsidP="00443EB7">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E9367C">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E9367C" w:rsidRP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r w:rsidRPr="00E9367C">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E9367C">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E9367C">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8" w:history="1">
              <w:r w:rsidRPr="00E9367C">
                <w:rPr>
                  <w:rStyle w:val="aa"/>
                  <w:rFonts w:ascii="Times New Roman" w:eastAsia="Times New Roman" w:hAnsi="Times New Roman" w:cs="Times New Roman"/>
                  <w:sz w:val="24"/>
                  <w:szCs w:val="24"/>
                  <w:lang w:eastAsia="bg-BG"/>
                </w:rPr>
                <w:t>http://www.migelhovo.org/</w:t>
              </w:r>
            </w:hyperlink>
            <w:r w:rsidRPr="00E9367C">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E9367C">
              <w:rPr>
                <w:rFonts w:ascii="Times New Roman" w:eastAsia="Times New Roman" w:hAnsi="Times New Roman" w:cs="Times New Roman"/>
                <w:i/>
                <w:sz w:val="24"/>
                <w:szCs w:val="24"/>
                <w:lang w:eastAsia="bg-BG"/>
              </w:rPr>
              <w:t>Приложение № 2 Критерии и методика за ТФО</w:t>
            </w:r>
            <w:r w:rsidRPr="00E9367C">
              <w:rPr>
                <w:rFonts w:ascii="Times New Roman" w:eastAsia="Times New Roman" w:hAnsi="Times New Roman" w:cs="Times New Roman"/>
                <w:sz w:val="24"/>
                <w:szCs w:val="24"/>
                <w:lang w:eastAsia="bg-BG"/>
              </w:rPr>
              <w:t xml:space="preserve"> от Документи за информация към настоящите Условия за кандидатстване. </w:t>
            </w:r>
          </w:p>
          <w:p w:rsidR="00251FD0" w:rsidRPr="00251FD0" w:rsidRDefault="00251FD0"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p>
          <w:p w:rsidR="00251FD0" w:rsidRPr="00251FD0" w:rsidRDefault="00251FD0" w:rsidP="00251FD0">
            <w:pPr>
              <w:tabs>
                <w:tab w:val="left" w:pos="227"/>
              </w:tabs>
              <w:jc w:val="both"/>
              <w:rPr>
                <w:rFonts w:ascii="Times New Roman" w:eastAsia="Calibri" w:hAnsi="Times New Roman" w:cs="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251FD0" w:rsidRPr="00251FD0" w:rsidTr="0078343A">
              <w:trPr>
                <w:trHeight w:hRule="exact" w:val="312"/>
              </w:trPr>
              <w:tc>
                <w:tcPr>
                  <w:tcW w:w="8074" w:type="dxa"/>
                  <w:shd w:val="clear" w:color="auto" w:fill="auto"/>
                </w:tcPr>
                <w:p w:rsidR="00251FD0" w:rsidRPr="00251FD0" w:rsidRDefault="00251FD0" w:rsidP="00251FD0">
                  <w:pPr>
                    <w:tabs>
                      <w:tab w:val="left" w:pos="72"/>
                      <w:tab w:val="left" w:pos="356"/>
                    </w:tabs>
                    <w:spacing w:after="0"/>
                    <w:jc w:val="both"/>
                    <w:rPr>
                      <w:rFonts w:ascii="Times New Roman" w:eastAsia="Calibri" w:hAnsi="Times New Roman" w:cs="Times New Roman"/>
                      <w:bCs/>
                      <w:sz w:val="24"/>
                      <w:szCs w:val="24"/>
                    </w:rPr>
                  </w:pPr>
                  <w:r w:rsidRPr="00251FD0">
                    <w:rPr>
                      <w:rFonts w:ascii="Times New Roman" w:eastAsia="Calibri" w:hAnsi="Times New Roman" w:cs="Times New Roman"/>
                      <w:b/>
                      <w:sz w:val="24"/>
                      <w:szCs w:val="24"/>
                    </w:rPr>
                    <w:t>Критерии за избор на проекти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точки</w:t>
                  </w:r>
                </w:p>
              </w:tc>
            </w:tr>
            <w:tr w:rsidR="00251FD0" w:rsidRPr="00251FD0" w:rsidTr="0078343A">
              <w:trPr>
                <w:trHeight w:hRule="exact" w:val="588"/>
              </w:trPr>
              <w:tc>
                <w:tcPr>
                  <w:tcW w:w="8074" w:type="dxa"/>
                  <w:shd w:val="clear" w:color="auto" w:fill="auto"/>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bCs/>
                      <w:sz w:val="24"/>
                      <w:szCs w:val="24"/>
                    </w:rPr>
                    <w:t xml:space="preserve">Предприятието е класифицирано като </w:t>
                  </w:r>
                  <w:proofErr w:type="spellStart"/>
                  <w:r w:rsidRPr="00251FD0">
                    <w:rPr>
                      <w:rFonts w:ascii="Times New Roman" w:eastAsia="Calibri" w:hAnsi="Times New Roman" w:cs="Times New Roman"/>
                      <w:bCs/>
                      <w:sz w:val="24"/>
                      <w:szCs w:val="24"/>
                    </w:rPr>
                    <w:t>микро</w:t>
                  </w:r>
                  <w:proofErr w:type="spellEnd"/>
                  <w:r w:rsidRPr="00251FD0">
                    <w:rPr>
                      <w:rFonts w:ascii="Times New Roman" w:eastAsia="Calibri" w:hAnsi="Times New Roman" w:cs="Times New Roman"/>
                      <w:bCs/>
                      <w:sz w:val="24"/>
                      <w:szCs w:val="24"/>
                    </w:rPr>
                    <w:t>, съгласно препоръка на ЕС 2003/361/ЕС</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2009"/>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 xml:space="preserve">над 30 % от допустимите инвестиционни разходи по проекта са свързани с иновации в предприятието – 15 т.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1282"/>
              </w:trPr>
              <w:tc>
                <w:tcPr>
                  <w:tcW w:w="8074" w:type="dxa"/>
                  <w:shd w:val="clear" w:color="auto" w:fill="auto"/>
                </w:tcPr>
                <w:p w:rsidR="00251FD0" w:rsidRPr="00251FD0" w:rsidRDefault="00251FD0" w:rsidP="00251FD0">
                  <w:pPr>
                    <w:numPr>
                      <w:ilvl w:val="0"/>
                      <w:numId w:val="16"/>
                    </w:numPr>
                    <w:tabs>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Проекти, насърчаващи интеграцията на земеделските стопани</w:t>
                  </w:r>
                </w:p>
                <w:p w:rsidR="00251FD0" w:rsidRPr="00251FD0" w:rsidRDefault="00251FD0" w:rsidP="00251FD0">
                  <w:p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974"/>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създава нови работни места</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 xml:space="preserve">до 3 работни места – 5 точки </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над 3 работни места – 10 точки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5"/>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41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8"/>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1837"/>
              </w:trPr>
              <w:tc>
                <w:tcPr>
                  <w:tcW w:w="8074" w:type="dxa"/>
                  <w:shd w:val="clear" w:color="auto" w:fill="auto"/>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дейности с позитивен принос към околната среда</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30 % - от инвестициите са насочени към дейности, опазващи околната среда - 3 т.</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701"/>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84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Calibri" w:eastAsia="Calibri" w:hAnsi="Calibri" w:cs="Times New Roman"/>
                    </w:rPr>
                  </w:pPr>
                  <w:r w:rsidRPr="00251FD0">
                    <w:rPr>
                      <w:rFonts w:ascii="Times New Roman" w:eastAsia="Calibri"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394"/>
              </w:trPr>
              <w:tc>
                <w:tcPr>
                  <w:tcW w:w="8074" w:type="dxa"/>
                  <w:shd w:val="clear" w:color="auto" w:fill="auto"/>
                  <w:vAlign w:val="center"/>
                </w:tcPr>
                <w:p w:rsidR="00251FD0" w:rsidRPr="00251FD0" w:rsidRDefault="00251FD0" w:rsidP="00251FD0">
                  <w:pPr>
                    <w:tabs>
                      <w:tab w:val="left" w:pos="-284"/>
                      <w:tab w:val="left" w:pos="0"/>
                    </w:tabs>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 xml:space="preserve">ОБЩО </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100</w:t>
                  </w:r>
                </w:p>
              </w:tc>
            </w:tr>
          </w:tbl>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В случай, че две или повече проектни предложения имат еднакви общи крайни оценки, </w:t>
            </w:r>
            <w:r w:rsidRPr="00251FD0">
              <w:rPr>
                <w:rFonts w:ascii="Times New Roman" w:eastAsia="Calibri" w:hAnsi="Times New Roman" w:cs="Times New Roman"/>
                <w:sz w:val="24"/>
                <w:szCs w:val="24"/>
              </w:rPr>
              <w:lastRenderedPageBreak/>
              <w:t>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При равен брой точки и по този критерий,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3 (Проекти, насърчаващи интеграцията на земеделските стопани). </w:t>
            </w:r>
          </w:p>
          <w:p w:rsidR="00C03357" w:rsidRPr="00251FD0" w:rsidRDefault="00251FD0" w:rsidP="00251FD0">
            <w:pPr>
              <w:tabs>
                <w:tab w:val="left" w:pos="177"/>
              </w:tabs>
              <w:jc w:val="both"/>
              <w:rPr>
                <w:rFonts w:ascii="Times New Roman" w:eastAsia="Calibri" w:hAnsi="Times New Roman" w:cs="Times New Roman"/>
                <w:sz w:val="24"/>
                <w:szCs w:val="24"/>
                <w:lang w:val="en-US"/>
              </w:rPr>
            </w:pPr>
            <w:r w:rsidRPr="00251FD0">
              <w:rPr>
                <w:rFonts w:ascii="Times New Roman" w:eastAsia="Calibri" w:hAnsi="Times New Roman" w:cs="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4 (Проектът създава нови работни места). </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proofErr w:type="spellStart"/>
            <w:r w:rsidRPr="00A26EFC">
              <w:rPr>
                <w:rFonts w:ascii="Times New Roman" w:eastAsia="Times New Roman" w:hAnsi="Times New Roman" w:cs="Times New Roman"/>
                <w:sz w:val="24"/>
                <w:szCs w:val="24"/>
                <w:lang w:eastAsia="bg-BG"/>
              </w:rPr>
              <w:t>e-mail</w:t>
            </w:r>
            <w:proofErr w:type="spellEnd"/>
            <w:r w:rsidRPr="00A26EFC">
              <w:rPr>
                <w:rFonts w:ascii="Times New Roman" w:eastAsia="Times New Roman" w:hAnsi="Times New Roman" w:cs="Times New Roman"/>
                <w:sz w:val="24"/>
                <w:szCs w:val="24"/>
                <w:lang w:eastAsia="bg-BG"/>
              </w:rPr>
              <w:t xml:space="preserve">: </w:t>
            </w:r>
            <w:hyperlink r:id="rId9"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Default="00A26EFC" w:rsidP="00316F54">
            <w:pPr>
              <w:widowControl w:val="0"/>
              <w:autoSpaceDE w:val="0"/>
              <w:autoSpaceDN w:val="0"/>
              <w:adjustRightInd w:val="0"/>
              <w:jc w:val="both"/>
              <w:rPr>
                <w:rFonts w:ascii="Times New Roman" w:eastAsia="Times New Roman" w:hAnsi="Times New Roman" w:cs="Times New Roman"/>
                <w:sz w:val="24"/>
                <w:szCs w:val="24"/>
                <w:u w:val="single"/>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4F6788" w:rsidRPr="004F6788">
              <w:rPr>
                <w:rFonts w:ascii="Times New Roman" w:eastAsia="Times New Roman" w:hAnsi="Times New Roman" w:cs="Times New Roman"/>
                <w:b/>
                <w:noProof/>
                <w:color w:val="000000"/>
                <w:sz w:val="24"/>
                <w:szCs w:val="24"/>
                <w:lang w:val="fr-BE" w:eastAsia="bg-BG"/>
              </w:rPr>
              <w:t>4.</w:t>
            </w:r>
            <w:r w:rsidR="002339E6">
              <w:rPr>
                <w:rFonts w:ascii="Times New Roman" w:eastAsia="Times New Roman" w:hAnsi="Times New Roman" w:cs="Times New Roman"/>
                <w:b/>
                <w:noProof/>
                <w:color w:val="000000"/>
                <w:sz w:val="24"/>
                <w:szCs w:val="24"/>
                <w:lang w:eastAsia="bg-BG"/>
              </w:rPr>
              <w:t xml:space="preserve">2. </w:t>
            </w:r>
            <w:r w:rsidR="004F6788" w:rsidRPr="004F6788">
              <w:rPr>
                <w:rFonts w:ascii="Times New Roman" w:eastAsia="Times New Roman" w:hAnsi="Times New Roman" w:cs="Times New Roman"/>
                <w:noProof/>
                <w:color w:val="000000"/>
                <w:sz w:val="24"/>
                <w:szCs w:val="24"/>
                <w:lang w:val="fr-BE" w:eastAsia="bg-BG"/>
              </w:rPr>
              <w:t xml:space="preserve">„Инвестиции в </w:t>
            </w:r>
            <w:r w:rsidR="002339E6">
              <w:rPr>
                <w:rFonts w:ascii="Times New Roman" w:eastAsia="Times New Roman" w:hAnsi="Times New Roman" w:cs="Times New Roman"/>
                <w:noProof/>
                <w:color w:val="000000"/>
                <w:sz w:val="24"/>
                <w:szCs w:val="24"/>
                <w:lang w:eastAsia="bg-BG"/>
              </w:rPr>
              <w:t>преработка/маркетинг на селскостопански продукти</w:t>
            </w:r>
            <w:r w:rsidR="004F6788" w:rsidRPr="004F6788">
              <w:rPr>
                <w:rFonts w:ascii="Times New Roman" w:eastAsia="Times New Roman" w:hAnsi="Times New Roman" w:cs="Times New Roman"/>
                <w:noProof/>
                <w:color w:val="000000"/>
                <w:sz w:val="24"/>
                <w:szCs w:val="24"/>
                <w:lang w:val="fr-BE" w:eastAsia="bg-BG"/>
              </w:rPr>
              <w:t>и“</w:t>
            </w:r>
            <w:r w:rsidR="004F6788">
              <w:rPr>
                <w:rFonts w:ascii="Times New Roman" w:eastAsia="Times New Roman" w:hAnsi="Times New Roman" w:cs="Times New Roman"/>
                <w:noProof/>
                <w:color w:val="000000"/>
                <w:sz w:val="24"/>
                <w:szCs w:val="24"/>
                <w:lang w:eastAsia="bg-BG"/>
              </w:rPr>
              <w:t xml:space="preserve">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0" w:history="1">
              <w:r w:rsidRPr="00A26EFC">
                <w:rPr>
                  <w:rFonts w:ascii="Times New Roman" w:eastAsia="Times New Roman" w:hAnsi="Times New Roman" w:cs="Times New Roman"/>
                  <w:color w:val="0000FF" w:themeColor="hyperlink"/>
                  <w:sz w:val="24"/>
                  <w:szCs w:val="24"/>
                  <w:u w:val="single"/>
                  <w:lang w:eastAsia="bg-BG"/>
                </w:rPr>
                <w:t>www.migelhovo.org</w:t>
              </w:r>
            </w:hyperlink>
            <w:r w:rsidR="00316F54">
              <w:rPr>
                <w:rFonts w:ascii="Times New Roman" w:eastAsia="Times New Roman" w:hAnsi="Times New Roman" w:cs="Times New Roman"/>
                <w:sz w:val="24"/>
                <w:szCs w:val="24"/>
                <w:u w:val="single"/>
                <w:lang w:eastAsia="bg-BG"/>
              </w:rPr>
              <w:t>.</w:t>
            </w:r>
          </w:p>
          <w:p w:rsidR="00316F54" w:rsidRPr="00762E40" w:rsidRDefault="00316F54" w:rsidP="00316F54">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316F54" w:rsidRPr="008A4EAD" w:rsidRDefault="00316F54" w:rsidP="00316F54">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1"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316F54" w:rsidRPr="00316F54" w:rsidRDefault="00316F54" w:rsidP="00316F54">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A26EFC">
              <w:rPr>
                <w:rFonts w:ascii="Times New Roman" w:hAnsi="Times New Roman" w:cs="Times New Roman"/>
                <w:sz w:val="24"/>
                <w:szCs w:val="24"/>
              </w:rPr>
              <w:t>придружителните</w:t>
            </w:r>
            <w:proofErr w:type="spellEnd"/>
            <w:r w:rsidRPr="00A26EFC">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w:t>
            </w:r>
            <w:r w:rsidRPr="00A26EFC">
              <w:rPr>
                <w:rFonts w:ascii="Times New Roman" w:eastAsia="Times New Roman" w:hAnsi="Times New Roman" w:cs="Times New Roman"/>
                <w:sz w:val="24"/>
                <w:szCs w:val="24"/>
                <w:lang w:eastAsia="bg-BG"/>
              </w:rPr>
              <w:lastRenderedPageBreak/>
              <w:t xml:space="preserve">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57" w:rsidRDefault="00F56A57" w:rsidP="00220D32">
      <w:pPr>
        <w:spacing w:after="0" w:line="240" w:lineRule="auto"/>
      </w:pPr>
      <w:r>
        <w:separator/>
      </w:r>
    </w:p>
  </w:endnote>
  <w:endnote w:type="continuationSeparator" w:id="0">
    <w:p w:rsidR="00F56A57" w:rsidRDefault="00F56A57"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57" w:rsidRDefault="00F56A57" w:rsidP="00220D32">
      <w:pPr>
        <w:spacing w:after="0" w:line="240" w:lineRule="auto"/>
      </w:pPr>
      <w:r>
        <w:separator/>
      </w:r>
    </w:p>
  </w:footnote>
  <w:footnote w:type="continuationSeparator" w:id="0">
    <w:p w:rsidR="00F56A57" w:rsidRDefault="00F56A57" w:rsidP="00220D32">
      <w:pPr>
        <w:spacing w:after="0" w:line="240" w:lineRule="auto"/>
      </w:pPr>
      <w:r>
        <w:continuationSeparator/>
      </w:r>
    </w:p>
  </w:footnote>
  <w:footnote w:id="1">
    <w:p w:rsidR="00572D6D" w:rsidRPr="0098136F" w:rsidRDefault="00572D6D" w:rsidP="0098136F">
      <w:pPr>
        <w:pStyle w:val="ab"/>
      </w:pPr>
    </w:p>
  </w:footnote>
  <w:footnote w:id="2">
    <w:p w:rsidR="00CE09F8" w:rsidRDefault="00CE09F8" w:rsidP="00CE09F8">
      <w:pPr>
        <w:pStyle w:val="ab"/>
      </w:pPr>
      <w:r>
        <w:rPr>
          <w:rStyle w:val="ad"/>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3">
    <w:p w:rsidR="00CE09F8" w:rsidRPr="00B37296" w:rsidRDefault="00CE09F8" w:rsidP="00CE09F8">
      <w:pPr>
        <w:pStyle w:val="ab"/>
        <w:rPr>
          <w:rFonts w:ascii="Times New Roman" w:hAnsi="Times New Roman"/>
        </w:rPr>
      </w:pPr>
      <w:r w:rsidRPr="00B37296">
        <w:rPr>
          <w:rStyle w:val="ad"/>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6D" w:rsidRPr="000970E8" w:rsidRDefault="00572D6D"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572D6D" w:rsidRPr="000970E8" w:rsidTr="00572D6D">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72D6D" w:rsidRPr="000970E8" w:rsidTr="00572D6D">
            <w:tc>
              <w:tcPr>
                <w:tcW w:w="1701" w:type="dxa"/>
                <w:shd w:val="clear" w:color="auto" w:fill="auto"/>
              </w:tcPr>
              <w:p w:rsidR="00572D6D" w:rsidRPr="000970E8" w:rsidRDefault="00572D6D" w:rsidP="00572D6D">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72D6D" w:rsidRPr="000970E8" w:rsidRDefault="00572D6D" w:rsidP="00572D6D">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72D6D" w:rsidRPr="000970E8" w:rsidRDefault="00572D6D" w:rsidP="00572D6D">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72D6D"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72D6D" w:rsidRPr="00175514" w:rsidRDefault="00572D6D"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572D6D" w:rsidRDefault="00572D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4">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8">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9">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B9F34EB"/>
    <w:multiLevelType w:val="hybridMultilevel"/>
    <w:tmpl w:val="A04630BC"/>
    <w:lvl w:ilvl="0" w:tplc="513CD196">
      <w:numFmt w:val="bullet"/>
      <w:lvlText w:val="•"/>
      <w:lvlJc w:val="left"/>
      <w:pPr>
        <w:ind w:left="440" w:hanging="44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60F2672D"/>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6">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8">
    <w:nsid w:val="76E62DF7"/>
    <w:multiLevelType w:val="hybridMultilevel"/>
    <w:tmpl w:val="26BEBB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A0C6A41"/>
    <w:multiLevelType w:val="hybridMultilevel"/>
    <w:tmpl w:val="E23CD87C"/>
    <w:lvl w:ilvl="0" w:tplc="513CD196">
      <w:numFmt w:val="bullet"/>
      <w:lvlText w:val="•"/>
      <w:lvlJc w:val="left"/>
      <w:pPr>
        <w:ind w:left="800" w:hanging="44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0"/>
  </w:num>
  <w:num w:numId="2">
    <w:abstractNumId w:val="10"/>
  </w:num>
  <w:num w:numId="3">
    <w:abstractNumId w:val="17"/>
  </w:num>
  <w:num w:numId="4">
    <w:abstractNumId w:val="7"/>
  </w:num>
  <w:num w:numId="5">
    <w:abstractNumId w:val="8"/>
  </w:num>
  <w:num w:numId="6">
    <w:abstractNumId w:val="9"/>
  </w:num>
  <w:num w:numId="7">
    <w:abstractNumId w:val="22"/>
  </w:num>
  <w:num w:numId="8">
    <w:abstractNumId w:val="16"/>
  </w:num>
  <w:num w:numId="9">
    <w:abstractNumId w:val="0"/>
  </w:num>
  <w:num w:numId="10">
    <w:abstractNumId w:val="23"/>
  </w:num>
  <w:num w:numId="11">
    <w:abstractNumId w:val="5"/>
  </w:num>
  <w:num w:numId="12">
    <w:abstractNumId w:val="2"/>
  </w:num>
  <w:num w:numId="13">
    <w:abstractNumId w:val="19"/>
  </w:num>
  <w:num w:numId="14">
    <w:abstractNumId w:val="11"/>
  </w:num>
  <w:num w:numId="15">
    <w:abstractNumId w:val="1"/>
  </w:num>
  <w:num w:numId="16">
    <w:abstractNumId w:val="15"/>
  </w:num>
  <w:num w:numId="17">
    <w:abstractNumId w:val="4"/>
  </w:num>
  <w:num w:numId="18">
    <w:abstractNumId w:val="14"/>
  </w:num>
  <w:num w:numId="19">
    <w:abstractNumId w:val="3"/>
  </w:num>
  <w:num w:numId="20">
    <w:abstractNumId w:val="6"/>
  </w:num>
  <w:num w:numId="21">
    <w:abstractNumId w:val="18"/>
  </w:num>
  <w:num w:numId="22">
    <w:abstractNumId w:val="21"/>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40F53"/>
    <w:rsid w:val="000707BF"/>
    <w:rsid w:val="000812E9"/>
    <w:rsid w:val="0008303D"/>
    <w:rsid w:val="00083819"/>
    <w:rsid w:val="0008556E"/>
    <w:rsid w:val="000D2300"/>
    <w:rsid w:val="000D4CC1"/>
    <w:rsid w:val="000F7804"/>
    <w:rsid w:val="00105D88"/>
    <w:rsid w:val="001212F3"/>
    <w:rsid w:val="00122C94"/>
    <w:rsid w:val="00155E1A"/>
    <w:rsid w:val="00161E24"/>
    <w:rsid w:val="00185B2C"/>
    <w:rsid w:val="001B6CDF"/>
    <w:rsid w:val="001D2996"/>
    <w:rsid w:val="001E0DF3"/>
    <w:rsid w:val="001F5CFB"/>
    <w:rsid w:val="001F71AD"/>
    <w:rsid w:val="00220D32"/>
    <w:rsid w:val="002336FD"/>
    <w:rsid w:val="002339E6"/>
    <w:rsid w:val="002346EE"/>
    <w:rsid w:val="00245296"/>
    <w:rsid w:val="00247691"/>
    <w:rsid w:val="00251FD0"/>
    <w:rsid w:val="002536C9"/>
    <w:rsid w:val="00273019"/>
    <w:rsid w:val="002832C4"/>
    <w:rsid w:val="00292638"/>
    <w:rsid w:val="00292960"/>
    <w:rsid w:val="002938EE"/>
    <w:rsid w:val="00297A97"/>
    <w:rsid w:val="002A2443"/>
    <w:rsid w:val="002A34D0"/>
    <w:rsid w:val="002B6420"/>
    <w:rsid w:val="002B782A"/>
    <w:rsid w:val="002D0851"/>
    <w:rsid w:val="002D3488"/>
    <w:rsid w:val="002E501A"/>
    <w:rsid w:val="002F688D"/>
    <w:rsid w:val="00316F54"/>
    <w:rsid w:val="00353197"/>
    <w:rsid w:val="00353644"/>
    <w:rsid w:val="00372493"/>
    <w:rsid w:val="003C65C6"/>
    <w:rsid w:val="003D2040"/>
    <w:rsid w:val="003D48D1"/>
    <w:rsid w:val="0041174A"/>
    <w:rsid w:val="00422F6D"/>
    <w:rsid w:val="00423B8D"/>
    <w:rsid w:val="00443EB7"/>
    <w:rsid w:val="00471DA3"/>
    <w:rsid w:val="00492B6E"/>
    <w:rsid w:val="004B3987"/>
    <w:rsid w:val="004C162D"/>
    <w:rsid w:val="004C3134"/>
    <w:rsid w:val="004D2960"/>
    <w:rsid w:val="004E15E6"/>
    <w:rsid w:val="004E2C9B"/>
    <w:rsid w:val="004E341C"/>
    <w:rsid w:val="004E5177"/>
    <w:rsid w:val="004F5E69"/>
    <w:rsid w:val="004F6788"/>
    <w:rsid w:val="005377C8"/>
    <w:rsid w:val="00560A30"/>
    <w:rsid w:val="00560D90"/>
    <w:rsid w:val="005625D7"/>
    <w:rsid w:val="00572D6D"/>
    <w:rsid w:val="00580FFB"/>
    <w:rsid w:val="00586901"/>
    <w:rsid w:val="005A64FF"/>
    <w:rsid w:val="00600C91"/>
    <w:rsid w:val="0061411D"/>
    <w:rsid w:val="00617E85"/>
    <w:rsid w:val="006576C4"/>
    <w:rsid w:val="00673D8F"/>
    <w:rsid w:val="00693FE2"/>
    <w:rsid w:val="00696C59"/>
    <w:rsid w:val="006B7CEE"/>
    <w:rsid w:val="00734482"/>
    <w:rsid w:val="007460BC"/>
    <w:rsid w:val="00773E91"/>
    <w:rsid w:val="00783324"/>
    <w:rsid w:val="00785EFD"/>
    <w:rsid w:val="007B156A"/>
    <w:rsid w:val="007C04A0"/>
    <w:rsid w:val="007C52D0"/>
    <w:rsid w:val="007E21E3"/>
    <w:rsid w:val="007F672F"/>
    <w:rsid w:val="00820C74"/>
    <w:rsid w:val="00822F8E"/>
    <w:rsid w:val="00824B8A"/>
    <w:rsid w:val="00834A19"/>
    <w:rsid w:val="008634F0"/>
    <w:rsid w:val="00866C5E"/>
    <w:rsid w:val="00880E74"/>
    <w:rsid w:val="008911FB"/>
    <w:rsid w:val="0089793E"/>
    <w:rsid w:val="008C6748"/>
    <w:rsid w:val="008F1A64"/>
    <w:rsid w:val="008F66C5"/>
    <w:rsid w:val="00906AD2"/>
    <w:rsid w:val="00924DDA"/>
    <w:rsid w:val="009319EB"/>
    <w:rsid w:val="00937129"/>
    <w:rsid w:val="00943F9E"/>
    <w:rsid w:val="009568EE"/>
    <w:rsid w:val="0098136F"/>
    <w:rsid w:val="009F1203"/>
    <w:rsid w:val="00A00455"/>
    <w:rsid w:val="00A26EFC"/>
    <w:rsid w:val="00A443AB"/>
    <w:rsid w:val="00AB0489"/>
    <w:rsid w:val="00AB4C69"/>
    <w:rsid w:val="00AD28A8"/>
    <w:rsid w:val="00B40F44"/>
    <w:rsid w:val="00B523C7"/>
    <w:rsid w:val="00BB3936"/>
    <w:rsid w:val="00BC2522"/>
    <w:rsid w:val="00BD17BE"/>
    <w:rsid w:val="00BF0098"/>
    <w:rsid w:val="00BF5B7E"/>
    <w:rsid w:val="00C03357"/>
    <w:rsid w:val="00C04704"/>
    <w:rsid w:val="00C12766"/>
    <w:rsid w:val="00C213EF"/>
    <w:rsid w:val="00C47397"/>
    <w:rsid w:val="00C67744"/>
    <w:rsid w:val="00C92F42"/>
    <w:rsid w:val="00CB3BC6"/>
    <w:rsid w:val="00CE09F8"/>
    <w:rsid w:val="00D34D52"/>
    <w:rsid w:val="00D40725"/>
    <w:rsid w:val="00D63F5A"/>
    <w:rsid w:val="00D8397D"/>
    <w:rsid w:val="00DA3349"/>
    <w:rsid w:val="00DA3DE4"/>
    <w:rsid w:val="00DB7376"/>
    <w:rsid w:val="00DF4F3C"/>
    <w:rsid w:val="00DF519D"/>
    <w:rsid w:val="00E063C0"/>
    <w:rsid w:val="00E441DB"/>
    <w:rsid w:val="00E52DF0"/>
    <w:rsid w:val="00E55B55"/>
    <w:rsid w:val="00E577EA"/>
    <w:rsid w:val="00E67411"/>
    <w:rsid w:val="00E74E5F"/>
    <w:rsid w:val="00E83308"/>
    <w:rsid w:val="00E9367C"/>
    <w:rsid w:val="00E9570C"/>
    <w:rsid w:val="00ED2B8A"/>
    <w:rsid w:val="00F034B4"/>
    <w:rsid w:val="00F04313"/>
    <w:rsid w:val="00F17A70"/>
    <w:rsid w:val="00F5125F"/>
    <w:rsid w:val="00F56A57"/>
    <w:rsid w:val="00F64F25"/>
    <w:rsid w:val="00FA61D7"/>
    <w:rsid w:val="00FB0A40"/>
    <w:rsid w:val="00FD0DFC"/>
    <w:rsid w:val="00FD27C9"/>
    <w:rsid w:val="00FD5D75"/>
    <w:rsid w:val="00FF4E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elhovo.org/?page_id=2565"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gelhovo.org" TargetMode="External"/><Relationship Id="rId4" Type="http://schemas.openxmlformats.org/officeDocument/2006/relationships/settings" Target="settings.xml"/><Relationship Id="rId9" Type="http://schemas.openxmlformats.org/officeDocument/2006/relationships/hyperlink" Target="mailto:elhovo_lider@abv.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2548</Words>
  <Characters>14525</Characters>
  <Application>Microsoft Office Word</Application>
  <DocSecurity>0</DocSecurity>
  <Lines>121</Lines>
  <Paragraphs>34</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30</cp:revision>
  <cp:lastPrinted>2018-12-03T08:22:00Z</cp:lastPrinted>
  <dcterms:created xsi:type="dcterms:W3CDTF">2021-03-16T07:46:00Z</dcterms:created>
  <dcterms:modified xsi:type="dcterms:W3CDTF">2023-05-11T11:38:00Z</dcterms:modified>
</cp:coreProperties>
</file>