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EC" w:rsidRDefault="00A52BEC" w:rsidP="00A51A73">
      <w:pPr>
        <w:jc w:val="right"/>
        <w:rPr>
          <w:b/>
          <w:i/>
          <w:lang w:val="en-US"/>
        </w:rPr>
      </w:pPr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Приложение №</w:t>
      </w:r>
      <w:r>
        <w:rPr>
          <w:b/>
          <w:i/>
          <w:lang w:val="en-US"/>
        </w:rPr>
        <w:t xml:space="preserve"> </w:t>
      </w:r>
      <w:r w:rsidR="001F5A76">
        <w:rPr>
          <w:b/>
          <w:i/>
        </w:rPr>
        <w:t>1</w:t>
      </w:r>
      <w:r w:rsidR="00D8535C">
        <w:rPr>
          <w:b/>
          <w:i/>
        </w:rPr>
        <w:t>б</w:t>
      </w:r>
      <w:bookmarkStart w:id="0" w:name="_GoBack"/>
      <w:bookmarkEnd w:id="0"/>
      <w:r w:rsidR="001F5A76">
        <w:rPr>
          <w:b/>
          <w:i/>
        </w:rPr>
        <w:t xml:space="preserve"> </w:t>
      </w:r>
      <w:r w:rsidRPr="00DB1E35">
        <w:rPr>
          <w:b/>
          <w:i/>
        </w:rPr>
        <w:t xml:space="preserve">към Условия за кандидатстване </w:t>
      </w:r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– за информация</w:t>
      </w:r>
    </w:p>
    <w:p w:rsidR="00A51A73" w:rsidRDefault="00A51A73" w:rsidP="00A51A73">
      <w:pPr>
        <w:rPr>
          <w:sz w:val="28"/>
          <w:szCs w:val="28"/>
        </w:rPr>
      </w:pP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Работен лист </w:t>
      </w: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за оценка на бизнес плана 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rPr>
          <w:sz w:val="28"/>
          <w:szCs w:val="28"/>
        </w:rPr>
      </w:pPr>
      <w:r>
        <w:rPr>
          <w:sz w:val="28"/>
          <w:szCs w:val="28"/>
        </w:rPr>
        <w:t>име и номер на проектното предложение …………………………………………………………………………………………….</w:t>
      </w:r>
    </w:p>
    <w:p w:rsidR="00A51A73" w:rsidRDefault="00A51A73" w:rsidP="00A51A73">
      <w:pPr>
        <w:rPr>
          <w:sz w:val="28"/>
          <w:szCs w:val="28"/>
        </w:rPr>
      </w:pPr>
    </w:p>
    <w:p w:rsidR="00A51A73" w:rsidRPr="00925B2E" w:rsidRDefault="00A51A73" w:rsidP="00A51A73">
      <w:pPr>
        <w:numPr>
          <w:ilvl w:val="0"/>
          <w:numId w:val="1"/>
        </w:numPr>
        <w:jc w:val="both"/>
        <w:rPr>
          <w:lang w:eastAsia="en-US"/>
        </w:rPr>
      </w:pPr>
      <w:r w:rsidRPr="00925B2E">
        <w:rPr>
          <w:b/>
          <w:lang w:eastAsia="en-US"/>
        </w:rPr>
        <w:t>Нетна настояща стойност (NPV):</w:t>
      </w:r>
      <w:r w:rsidRPr="00925B2E">
        <w:rPr>
          <w:lang w:eastAsia="en-US"/>
        </w:rPr>
        <w:t xml:space="preserve"> </w:t>
      </w:r>
      <w:proofErr w:type="spellStart"/>
      <w:r w:rsidRPr="00925B2E">
        <w:rPr>
          <w:lang w:eastAsia="en-US"/>
        </w:rPr>
        <w:t>NPV</w:t>
      </w:r>
      <w:proofErr w:type="spellEnd"/>
      <w:r w:rsidRPr="00925B2E">
        <w:rPr>
          <w:lang w:eastAsia="en-US"/>
        </w:rPr>
        <w:t xml:space="preserve"> отразява ефекта на времето върху очаквания паричен поток през периода на инвестицията. </w:t>
      </w:r>
      <w:r w:rsidRPr="00925B2E">
        <w:rPr>
          <w:sz w:val="22"/>
          <w:szCs w:val="22"/>
        </w:rPr>
        <w:t xml:space="preserve">Необходимо и достатъчно условие е </w:t>
      </w:r>
      <w:r w:rsidRPr="00925B2E">
        <w:rPr>
          <w:bCs/>
          <w:sz w:val="22"/>
          <w:szCs w:val="22"/>
        </w:rPr>
        <w:t>NPV</w:t>
      </w:r>
      <w:r w:rsidRPr="00925B2E">
        <w:rPr>
          <w:sz w:val="22"/>
          <w:szCs w:val="22"/>
        </w:rPr>
        <w:t xml:space="preserve"> да бъде положително число, т.е. </w:t>
      </w:r>
      <w:r w:rsidRPr="00925B2E">
        <w:rPr>
          <w:bCs/>
          <w:sz w:val="22"/>
          <w:szCs w:val="22"/>
        </w:rPr>
        <w:t>NPV &gt; 0</w:t>
      </w:r>
      <w:r w:rsidRPr="00925B2E">
        <w:rPr>
          <w:sz w:val="22"/>
          <w:szCs w:val="22"/>
        </w:rPr>
        <w:t>.</w:t>
      </w:r>
      <w:r w:rsidRPr="00925B2E">
        <w:rPr>
          <w:lang w:eastAsia="en-US"/>
        </w:rPr>
        <w:t xml:space="preserve"> </w:t>
      </w:r>
    </w:p>
    <w:p w:rsidR="00A51A73" w:rsidRPr="00925B2E" w:rsidRDefault="00A51A73" w:rsidP="00A51A73">
      <w:pPr>
        <w:jc w:val="both"/>
        <w:rPr>
          <w:lang w:eastAsia="en-US"/>
        </w:rPr>
      </w:pPr>
      <w:r w:rsidRPr="00925B2E">
        <w:rPr>
          <w:lang w:eastAsia="en-US"/>
        </w:rPr>
        <w:t xml:space="preserve">Изчисляване NPV на проекта: </w:t>
      </w: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202180" cy="708660"/>
            <wp:effectExtent l="19050" t="0" r="7620" b="0"/>
            <wp:docPr id="1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където: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NCF е основният нетен паричен поток от таблица „Прогноза за нетните парични потоци на проекта”;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I0 – сумата на инвестицията (</w:t>
      </w:r>
      <w:r w:rsidRPr="003F1124">
        <w:rPr>
          <w:i/>
          <w:lang w:eastAsia="en-US"/>
        </w:rPr>
        <w:t>само разходите по чл. 20, ал. 1 на Наредба № 22</w:t>
      </w:r>
      <w:r w:rsidRPr="003F1124">
        <w:rPr>
          <w:lang w:eastAsia="en-US"/>
        </w:rPr>
        <w:t>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NPV – нетната настояща стойност;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r – </w:t>
      </w:r>
      <w:proofErr w:type="spellStart"/>
      <w:r w:rsidRPr="003F1124">
        <w:rPr>
          <w:lang w:eastAsia="en-US"/>
        </w:rPr>
        <w:t>дисконтов</w:t>
      </w:r>
      <w:proofErr w:type="spellEnd"/>
      <w:r w:rsidRPr="003F1124">
        <w:rPr>
          <w:lang w:eastAsia="en-US"/>
        </w:rPr>
        <w:t xml:space="preserve"> процент (6 %);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 – броят години, за които е изготвен бизнес планът;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t – периодът, равен на една година.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Забележки: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A51A73" w:rsidRDefault="00A51A73" w:rsidP="00A51A73">
      <w:pPr>
        <w:rPr>
          <w:lang w:eastAsia="en-US"/>
        </w:rPr>
      </w:pPr>
      <w:r w:rsidRPr="00310A8E">
        <w:rPr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Проектът се счита за допустим, ако NPV &gt; 0. 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15EF9" w:rsidRDefault="00A51A73" w:rsidP="00A51A73">
      <w:pPr>
        <w:jc w:val="both"/>
        <w:rPr>
          <w:lang w:eastAsia="en-US"/>
        </w:rPr>
      </w:pPr>
      <w:r>
        <w:rPr>
          <w:b/>
          <w:lang w:eastAsia="en-US"/>
        </w:rPr>
        <w:t xml:space="preserve">2. </w:t>
      </w:r>
      <w:r w:rsidRPr="00985319">
        <w:rPr>
          <w:b/>
          <w:lang w:eastAsia="en-US"/>
        </w:rPr>
        <w:t xml:space="preserve">Вътрешна норма на възвръщаемост (IRR) по проекта: </w:t>
      </w:r>
      <w:r w:rsidRPr="00715EF9">
        <w:rPr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3436620" cy="944880"/>
            <wp:effectExtent l="19050" t="0" r="0" b="0"/>
            <wp:docPr id="2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r1 – </w:t>
      </w:r>
      <w:proofErr w:type="spellStart"/>
      <w:r w:rsidRPr="003F1124">
        <w:rPr>
          <w:lang w:eastAsia="en-US"/>
        </w:rPr>
        <w:t>дисконтов</w:t>
      </w:r>
      <w:proofErr w:type="spellEnd"/>
      <w:r w:rsidRPr="003F1124">
        <w:rPr>
          <w:lang w:eastAsia="en-US"/>
        </w:rPr>
        <w:t xml:space="preserve"> процент, при който NPV1 &gt;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r2 – </w:t>
      </w:r>
      <w:proofErr w:type="spellStart"/>
      <w:r w:rsidRPr="003F1124">
        <w:rPr>
          <w:lang w:eastAsia="en-US"/>
        </w:rPr>
        <w:t>дисконтов</w:t>
      </w:r>
      <w:proofErr w:type="spellEnd"/>
      <w:r w:rsidRPr="003F1124">
        <w:rPr>
          <w:lang w:eastAsia="en-US"/>
        </w:rPr>
        <w:t xml:space="preserve"> процент, при който NPV2 &lt;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lang w:eastAsia="en-US"/>
        </w:rPr>
        <w:t>;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IRR &gt; r (6 %) и IRR</w:t>
      </w:r>
      <w:r w:rsidRPr="00D86999">
        <w:rPr>
          <w:b/>
          <w:bCs/>
          <w:sz w:val="28"/>
          <w:szCs w:val="22"/>
          <w:vertAlign w:val="subscript"/>
        </w:rPr>
        <w:t>1</w:t>
      </w:r>
      <w:r w:rsidRPr="00D86999">
        <w:rPr>
          <w:b/>
          <w:lang w:eastAsia="en-US"/>
        </w:rPr>
        <w:t>&gt; r (6 %).</w:t>
      </w:r>
    </w:p>
    <w:p w:rsidR="00A51A73" w:rsidRDefault="00A51A73" w:rsidP="00A51A73">
      <w:pPr>
        <w:ind w:firstLine="708"/>
        <w:jc w:val="both"/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A6B91" w:rsidRDefault="00A51A73" w:rsidP="00A51A73">
      <w:pPr>
        <w:jc w:val="both"/>
      </w:pPr>
      <w:r>
        <w:rPr>
          <w:b/>
          <w:lang w:eastAsia="en-US"/>
        </w:rPr>
        <w:t xml:space="preserve">3. </w:t>
      </w:r>
      <w:r w:rsidRPr="007A6B91">
        <w:rPr>
          <w:b/>
          <w:lang w:eastAsia="en-US"/>
        </w:rPr>
        <w:t xml:space="preserve">Индекс на рентабилност (PI) по проекта: </w:t>
      </w:r>
      <w:r w:rsidRPr="007A6B91">
        <w:t xml:space="preserve">Индексът на рентабилност </w:t>
      </w:r>
      <w:r w:rsidRPr="007A6B91">
        <w:rPr>
          <w:b/>
          <w:bCs/>
          <w:i/>
          <w:iCs/>
        </w:rPr>
        <w:t>(PI)</w:t>
      </w:r>
      <w:r w:rsidRPr="007A6B91">
        <w:t xml:space="preserve"> представлява дохода, който всеки един инвестиран лев ще осигури. Проектът се допуска за одобрение, ако </w:t>
      </w:r>
      <w:r w:rsidRPr="007A6B91">
        <w:rPr>
          <w:b/>
          <w:bCs/>
          <w:i/>
          <w:iCs/>
        </w:rPr>
        <w:t>PI &gt; 1</w:t>
      </w:r>
      <w:r w:rsidRPr="007A6B91">
        <w:t xml:space="preserve">, тъй като такава стойност на </w:t>
      </w:r>
      <w:r w:rsidRPr="007A6B91">
        <w:rPr>
          <w:b/>
          <w:bCs/>
          <w:i/>
          <w:iCs/>
        </w:rPr>
        <w:t>PI</w:t>
      </w:r>
      <w:r w:rsidRPr="007A6B91">
        <w:t xml:space="preserve"> осигурява ефективността на инвестицията.</w:t>
      </w:r>
    </w:p>
    <w:p w:rsidR="00A51A73" w:rsidRDefault="00A51A73" w:rsidP="00A51A73">
      <w:pPr>
        <w:jc w:val="both"/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834640" cy="1143000"/>
            <wp:effectExtent l="19050" t="0" r="3810" b="0"/>
            <wp:docPr id="3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orda 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където: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NCF – нетният паричен поток;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 I0 – сумата на инвестицията </w:t>
      </w:r>
      <w:r>
        <w:rPr>
          <w:lang w:eastAsia="en-US"/>
        </w:rPr>
        <w:t xml:space="preserve"> </w:t>
      </w:r>
      <w:r w:rsidRPr="00325880">
        <w:rPr>
          <w:lang w:eastAsia="en-US"/>
        </w:rPr>
        <w:t>(</w:t>
      </w:r>
      <w:r w:rsidRPr="003F1124">
        <w:rPr>
          <w:i/>
          <w:lang w:eastAsia="en-US"/>
        </w:rPr>
        <w:t>само разходите по чл. 20, ал. 1 на Наредба № 22</w:t>
      </w:r>
      <w:r>
        <w:rPr>
          <w:lang w:eastAsia="en-US"/>
        </w:rPr>
        <w:t>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r – </w:t>
      </w:r>
      <w:proofErr w:type="spellStart"/>
      <w:r w:rsidRPr="00325880">
        <w:rPr>
          <w:lang w:eastAsia="en-US"/>
        </w:rPr>
        <w:t>дисконтов</w:t>
      </w:r>
      <w:proofErr w:type="spellEnd"/>
      <w:r w:rsidRPr="00325880">
        <w:rPr>
          <w:lang w:eastAsia="en-US"/>
        </w:rPr>
        <w:t xml:space="preserve"> процент (6 %);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 – броят години, за които е изготвен бизнес</w:t>
      </w:r>
      <w:r>
        <w:rPr>
          <w:lang w:eastAsia="en-US"/>
        </w:rPr>
        <w:t xml:space="preserve"> </w:t>
      </w:r>
      <w:r w:rsidRPr="00325880">
        <w:rPr>
          <w:lang w:eastAsia="en-US"/>
        </w:rPr>
        <w:t>планът;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t – периодът, равен на една година. 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PI &gt; 1</w:t>
      </w:r>
      <w:r>
        <w:rPr>
          <w:b/>
          <w:lang w:eastAsia="en-US"/>
        </w:rPr>
        <w:t xml:space="preserve"> и </w:t>
      </w:r>
      <w:r w:rsidRPr="003C481B">
        <w:rPr>
          <w:b/>
          <w:lang w:eastAsia="en-US"/>
        </w:rPr>
        <w:t>PI</w:t>
      </w:r>
      <w:r w:rsidRPr="003C481B">
        <w:rPr>
          <w:b/>
          <w:bCs/>
          <w:i/>
          <w:iCs/>
          <w:szCs w:val="22"/>
          <w:vertAlign w:val="subscript"/>
        </w:rPr>
        <w:t>1</w:t>
      </w:r>
      <w:r w:rsidRPr="003C481B">
        <w:rPr>
          <w:b/>
          <w:bCs/>
          <w:i/>
          <w:iCs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lang w:eastAsia="en-US"/>
        </w:rPr>
        <w:t>.</w:t>
      </w:r>
    </w:p>
    <w:p w:rsidR="00A51A73" w:rsidRDefault="00A51A73" w:rsidP="00A51A73">
      <w:pPr>
        <w:rPr>
          <w:lang w:eastAsia="en-US"/>
        </w:rPr>
      </w:pPr>
    </w:p>
    <w:p w:rsidR="00A51A73" w:rsidRDefault="00A51A73" w:rsidP="00A51A73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3268980" cy="1257300"/>
            <wp:effectExtent l="19050" t="0" r="7620" b="0"/>
            <wp:docPr id="4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 xml:space="preserve">* Изчислява се сумата на </w:t>
      </w:r>
      <w:proofErr w:type="spellStart"/>
      <w:r w:rsidRPr="00B024E2">
        <w:rPr>
          <w:lang w:eastAsia="en-US"/>
        </w:rPr>
        <w:t>дисконтираните</w:t>
      </w:r>
      <w:proofErr w:type="spellEnd"/>
      <w:r w:rsidRPr="00B024E2">
        <w:rPr>
          <w:lang w:eastAsia="en-US"/>
        </w:rPr>
        <w:t xml:space="preserve"> парични потоци на проекта на кандидата.</w:t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 xml:space="preserve">** Изчислява се сумата на </w:t>
      </w:r>
      <w:proofErr w:type="spellStart"/>
      <w:r w:rsidRPr="00B024E2">
        <w:rPr>
          <w:lang w:eastAsia="en-US"/>
        </w:rPr>
        <w:t>дисконтираните</w:t>
      </w:r>
      <w:proofErr w:type="spellEnd"/>
      <w:r w:rsidRPr="00B024E2">
        <w:rPr>
          <w:lang w:eastAsia="en-US"/>
        </w:rPr>
        <w:t xml:space="preserve"> парични потоци на другите дейности на кандидата.</w:t>
      </w: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Pr="00A45089" w:rsidRDefault="00A51A73" w:rsidP="00A51A73">
      <w:pPr>
        <w:jc w:val="both"/>
        <w:rPr>
          <w:lang w:eastAsia="en-US"/>
        </w:rPr>
      </w:pPr>
      <w:r w:rsidRPr="00043700">
        <w:rPr>
          <w:b/>
          <w:lang w:eastAsia="en-US"/>
        </w:rPr>
        <w:t>4</w:t>
      </w:r>
      <w:r>
        <w:rPr>
          <w:b/>
          <w:lang w:eastAsia="en-US"/>
        </w:rPr>
        <w:t xml:space="preserve">. </w:t>
      </w:r>
      <w:r w:rsidRPr="00043700">
        <w:rPr>
          <w:b/>
          <w:lang w:eastAsia="en-US"/>
        </w:rPr>
        <w:t>Срок на откупуване (PBP)</w:t>
      </w:r>
      <w:r>
        <w:rPr>
          <w:b/>
          <w:lang w:eastAsia="en-US"/>
        </w:rPr>
        <w:t>:</w:t>
      </w:r>
      <w:r w:rsidRPr="00A45089">
        <w:rPr>
          <w:b/>
          <w:lang w:eastAsia="en-US"/>
        </w:rPr>
        <w:t xml:space="preserve"> </w:t>
      </w:r>
      <w:r w:rsidRPr="00A45089">
        <w:rPr>
          <w:lang w:eastAsia="en-US"/>
        </w:rPr>
        <w:t xml:space="preserve">Срокът на откупване e очакваният брой години, </w:t>
      </w:r>
      <w:proofErr w:type="spellStart"/>
      <w:r w:rsidRPr="00A45089">
        <w:rPr>
          <w:lang w:eastAsia="en-US"/>
        </w:rPr>
        <w:t>зa</w:t>
      </w:r>
      <w:proofErr w:type="spellEnd"/>
      <w:r w:rsidRPr="00A45089">
        <w:rPr>
          <w:lang w:eastAsia="en-US"/>
        </w:rPr>
        <w:t xml:space="preserve">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Default="00A51A73" w:rsidP="00A51A73">
      <w:pPr>
        <w:jc w:val="both"/>
        <w:rPr>
          <w:b/>
          <w:lang w:eastAsia="en-US"/>
        </w:rPr>
      </w:pPr>
      <w:r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>
            <wp:extent cx="4457700" cy="822960"/>
            <wp:effectExtent l="19050" t="0" r="0" b="0"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I0-сума на инвестицията;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n-броят години, за които е изготвен бизнес планът;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t-период, равен на една година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C71E32" w:rsidRDefault="00A51A73" w:rsidP="00A51A7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Първа прогнозна година е годината, през която стартира изпълнението на производствената и търговска програма (след като </w:t>
      </w:r>
      <w:proofErr w:type="spellStart"/>
      <w:r>
        <w:rPr>
          <w:b/>
          <w:lang w:eastAsia="en-US"/>
        </w:rPr>
        <w:t>инвестициятае</w:t>
      </w:r>
      <w:proofErr w:type="spellEnd"/>
      <w:r>
        <w:rPr>
          <w:b/>
          <w:lang w:eastAsia="en-US"/>
        </w:rPr>
        <w:t xml:space="preserve"> извършена </w:t>
      </w:r>
      <w:r>
        <w:rPr>
          <w:b/>
          <w:lang w:val="en-US" w:eastAsia="en-US"/>
        </w:rPr>
        <w:t>)</w:t>
      </w:r>
      <w:r>
        <w:rPr>
          <w:b/>
          <w:lang w:eastAsia="en-US"/>
        </w:rPr>
        <w:t xml:space="preserve">. В случай че инвестицията се реализира в година </w:t>
      </w:r>
      <w:r>
        <w:rPr>
          <w:b/>
          <w:lang w:val="en-US" w:eastAsia="en-US"/>
        </w:rPr>
        <w:t xml:space="preserve">“n”, </w:t>
      </w:r>
      <w:r>
        <w:rPr>
          <w:b/>
          <w:lang w:eastAsia="en-US"/>
        </w:rPr>
        <w:t xml:space="preserve">а дейността по производствената програма стартира в година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 xml:space="preserve">, то първа прогнозна година е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>.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Pr="00B353CE" w:rsidRDefault="00A51A73" w:rsidP="00A51A73">
      <w:pPr>
        <w:jc w:val="center"/>
        <w:rPr>
          <w:b/>
          <w:sz w:val="28"/>
          <w:szCs w:val="28"/>
        </w:rPr>
      </w:pPr>
      <w:r w:rsidRPr="00B353CE">
        <w:rPr>
          <w:b/>
          <w:sz w:val="28"/>
          <w:szCs w:val="28"/>
        </w:rPr>
        <w:lastRenderedPageBreak/>
        <w:t xml:space="preserve">ОЦЕНКА ПО ПОКАЗАТЕЛИТЕ </w:t>
      </w:r>
      <w:r>
        <w:rPr>
          <w:b/>
          <w:sz w:val="28"/>
          <w:szCs w:val="28"/>
        </w:rPr>
        <w:t>НА БИЗНЕС ПЛАНА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993"/>
        <w:gridCol w:w="992"/>
        <w:gridCol w:w="2268"/>
        <w:gridCol w:w="2551"/>
      </w:tblGrid>
      <w:tr w:rsidR="00A51A73" w:rsidRPr="00604278" w:rsidTr="00355778">
        <w:tc>
          <w:tcPr>
            <w:tcW w:w="3260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Показател</w:t>
            </w:r>
            <w:proofErr w:type="spellEnd"/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1985" w:type="dxa"/>
            <w:gridSpan w:val="2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b/>
                <w:lang w:val="ru-RU"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>ОЦЕНКА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6A6A6"/>
            <w:vAlign w:val="center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ИЗЧИСЛЕНА СТОЙНОСТ ПО ПОКАЗАТЕЛЯ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 xml:space="preserve">ОСНОВАНИЕ ЗА ОЦЕНКАТА </w:t>
            </w:r>
          </w:p>
        </w:tc>
      </w:tr>
      <w:tr w:rsidR="00A51A73" w:rsidRPr="00B84266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proofErr w:type="spellStart"/>
            <w:r w:rsidRPr="007D06C7">
              <w:rPr>
                <w:lang w:val="ru-RU"/>
              </w:rPr>
              <w:t>Стойността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gramStart"/>
            <w:r w:rsidRPr="007D06C7">
              <w:rPr>
                <w:lang w:val="ru-RU"/>
              </w:rPr>
              <w:t>на</w:t>
            </w:r>
            <w:proofErr w:type="gramEnd"/>
            <w:r w:rsidRPr="007D06C7">
              <w:rPr>
                <w:lang w:val="ru-RU"/>
              </w:rPr>
              <w:t xml:space="preserve"> показателя «</w:t>
            </w:r>
            <w:proofErr w:type="spellStart"/>
            <w:r>
              <w:rPr>
                <w:lang w:val="ru-RU"/>
              </w:rPr>
              <w:t>Нетна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настояща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стойност</w:t>
            </w:r>
            <w:proofErr w:type="spellEnd"/>
            <w:r>
              <w:rPr>
                <w:lang w:val="ru-RU"/>
              </w:rPr>
              <w:t xml:space="preserve">» е </w:t>
            </w:r>
            <w:proofErr w:type="spellStart"/>
            <w:r>
              <w:rPr>
                <w:lang w:val="ru-RU"/>
              </w:rPr>
              <w:t>по-</w:t>
            </w:r>
            <w:r w:rsidRPr="007D06C7">
              <w:rPr>
                <w:lang w:val="ru-RU"/>
              </w:rPr>
              <w:t>голяма</w:t>
            </w:r>
            <w:proofErr w:type="spellEnd"/>
            <w:r w:rsidRPr="007D06C7">
              <w:rPr>
                <w:lang w:val="ru-RU"/>
              </w:rPr>
              <w:t xml:space="preserve"> от 0 (</w:t>
            </w:r>
            <w:r w:rsidRPr="007D06C7">
              <w:rPr>
                <w:lang w:val="en-US"/>
              </w:rPr>
              <w:t>NPV</w:t>
            </w:r>
            <w:r w:rsidRPr="007D06C7">
              <w:rPr>
                <w:lang w:val="ru-RU"/>
              </w:rPr>
              <w:t>&gt;0)</w:t>
            </w:r>
          </w:p>
        </w:tc>
        <w:tc>
          <w:tcPr>
            <w:tcW w:w="993" w:type="dxa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eastAsia="en-US"/>
              </w:rPr>
            </w:pPr>
            <w:proofErr w:type="spellStart"/>
            <w:proofErr w:type="gramStart"/>
            <w:r w:rsidRPr="007D06C7">
              <w:rPr>
                <w:lang w:val="ru-RU"/>
              </w:rPr>
              <w:t>Стойността</w:t>
            </w:r>
            <w:proofErr w:type="spellEnd"/>
            <w:r w:rsidRPr="007D06C7">
              <w:rPr>
                <w:lang w:val="ru-RU"/>
              </w:rPr>
              <w:t xml:space="preserve"> на показателя «</w:t>
            </w:r>
            <w:proofErr w:type="spellStart"/>
            <w:r w:rsidRPr="007D06C7">
              <w:rPr>
                <w:lang w:val="ru-RU"/>
              </w:rPr>
              <w:t>Вътрешна</w:t>
            </w:r>
            <w:proofErr w:type="spellEnd"/>
            <w:r w:rsidRPr="007D06C7">
              <w:rPr>
                <w:lang w:val="ru-RU"/>
              </w:rPr>
              <w:t xml:space="preserve"> норма на </w:t>
            </w:r>
            <w:proofErr w:type="spellStart"/>
            <w:r w:rsidRPr="007D06C7">
              <w:rPr>
                <w:lang w:val="ru-RU"/>
              </w:rPr>
              <w:t>възвръщаемост</w:t>
            </w:r>
            <w:proofErr w:type="spellEnd"/>
            <w:r w:rsidRPr="007D06C7">
              <w:rPr>
                <w:lang w:val="ru-RU"/>
              </w:rPr>
              <w:t xml:space="preserve"> е </w:t>
            </w:r>
            <w:proofErr w:type="spellStart"/>
            <w:r w:rsidRPr="007D06C7">
              <w:rPr>
                <w:lang w:val="ru-RU"/>
              </w:rPr>
              <w:t>по-голяма</w:t>
            </w:r>
            <w:proofErr w:type="spellEnd"/>
            <w:r w:rsidRPr="007D06C7">
              <w:rPr>
                <w:lang w:val="ru-RU"/>
              </w:rPr>
              <w:t xml:space="preserve"> от 6%  (</w:t>
            </w:r>
            <w:r w:rsidRPr="007D06C7">
              <w:rPr>
                <w:lang w:eastAsia="en-US"/>
              </w:rPr>
              <w:t>IRR &gt; r (6 %) и IRR</w:t>
            </w:r>
            <w:r w:rsidRPr="007D06C7">
              <w:rPr>
                <w:bCs/>
                <w:sz w:val="28"/>
                <w:szCs w:val="22"/>
                <w:vertAlign w:val="subscript"/>
              </w:rPr>
              <w:t>1</w:t>
            </w:r>
            <w:r w:rsidRPr="007D06C7">
              <w:rPr>
                <w:lang w:eastAsia="en-US"/>
              </w:rPr>
              <w:t>&gt; r (6 %).</w:t>
            </w:r>
            <w:proofErr w:type="gramEnd"/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proofErr w:type="spellStart"/>
            <w:r w:rsidRPr="007D06C7">
              <w:rPr>
                <w:lang w:val="ru-RU"/>
              </w:rPr>
              <w:t>Индексът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рентабилност</w:t>
            </w:r>
            <w:proofErr w:type="spellEnd"/>
            <w:r w:rsidRPr="007D06C7">
              <w:rPr>
                <w:lang w:val="ru-RU"/>
              </w:rPr>
              <w:t xml:space="preserve"> 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 xml:space="preserve">) </w:t>
            </w:r>
            <w:proofErr w:type="spellStart"/>
            <w:r w:rsidRPr="007D06C7">
              <w:rPr>
                <w:lang w:val="ru-RU"/>
              </w:rPr>
              <w:t>има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spellStart"/>
            <w:r w:rsidRPr="007D06C7">
              <w:rPr>
                <w:lang w:val="ru-RU"/>
              </w:rPr>
              <w:t>стойност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spellStart"/>
            <w:r w:rsidRPr="007D06C7">
              <w:rPr>
                <w:lang w:val="ru-RU"/>
              </w:rPr>
              <w:t>по-голяма</w:t>
            </w:r>
            <w:proofErr w:type="spellEnd"/>
            <w:r w:rsidRPr="007D06C7">
              <w:rPr>
                <w:lang w:val="ru-RU"/>
              </w:rPr>
              <w:t xml:space="preserve"> от 1(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&gt;1).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proofErr w:type="spellStart"/>
            <w:proofErr w:type="gramStart"/>
            <w:r w:rsidRPr="007D06C7">
              <w:rPr>
                <w:lang w:val="ru-RU"/>
              </w:rPr>
              <w:t>Срокът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откупуване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инвестицията</w:t>
            </w:r>
            <w:proofErr w:type="spellEnd"/>
            <w:r w:rsidRPr="007D06C7">
              <w:rPr>
                <w:lang w:val="ru-RU"/>
              </w:rPr>
              <w:t xml:space="preserve"> </w:t>
            </w:r>
            <w:r w:rsidRPr="007D06C7">
              <w:t>(PBP)</w:t>
            </w:r>
            <w:r w:rsidRPr="007D06C7">
              <w:rPr>
                <w:b/>
              </w:rPr>
              <w:t xml:space="preserve"> </w:t>
            </w:r>
            <w:r w:rsidRPr="007D06C7">
              <w:rPr>
                <w:lang w:val="ru-RU"/>
              </w:rPr>
              <w:t xml:space="preserve">е в </w:t>
            </w:r>
            <w:proofErr w:type="spellStart"/>
            <w:r w:rsidRPr="007D06C7">
              <w:rPr>
                <w:lang w:val="ru-RU"/>
              </w:rPr>
              <w:t>рамките</w:t>
            </w:r>
            <w:proofErr w:type="spellEnd"/>
            <w:r w:rsidRPr="007D06C7">
              <w:rPr>
                <w:lang w:val="ru-RU"/>
              </w:rPr>
              <w:t xml:space="preserve"> на периода на бизнес плана. </w:t>
            </w:r>
            <w:proofErr w:type="gramEnd"/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Default="00A51A73" w:rsidP="00355778">
            <w:pPr>
              <w:rPr>
                <w:lang w:val="ru-RU"/>
              </w:rPr>
            </w:pPr>
          </w:p>
          <w:p w:rsidR="00A51A73" w:rsidRDefault="00A51A73" w:rsidP="00355778">
            <w:pPr>
              <w:ind w:left="34"/>
            </w:pPr>
            <w:r>
              <w:t>П</w:t>
            </w:r>
            <w:r w:rsidRPr="00EC1C8A">
              <w:t>оказателите за оценка на ефективността</w:t>
            </w:r>
            <w:r>
              <w:t xml:space="preserve"> </w:t>
            </w:r>
            <w:r w:rsidRPr="00EC1C8A">
              <w:t>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:rsidR="00A51A73" w:rsidRDefault="00A51A73" w:rsidP="00355778">
            <w:pPr>
              <w:ind w:left="34"/>
              <w:jc w:val="both"/>
            </w:pPr>
          </w:p>
          <w:p w:rsidR="00A51A73" w:rsidRDefault="00A51A73" w:rsidP="0035577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BFBFBF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>
      <w:pPr>
        <w:ind w:left="34"/>
        <w:jc w:val="both"/>
      </w:pPr>
    </w:p>
    <w:p w:rsidR="00A51A73" w:rsidRDefault="00A51A73" w:rsidP="00A51A73">
      <w:pPr>
        <w:ind w:left="34"/>
        <w:jc w:val="both"/>
      </w:pPr>
    </w:p>
    <w:p w:rsidR="00A51A73" w:rsidRPr="00B353CE" w:rsidRDefault="00A51A73" w:rsidP="00A51A73">
      <w:pPr>
        <w:ind w:left="34"/>
        <w:jc w:val="center"/>
        <w:rPr>
          <w:b/>
        </w:rPr>
      </w:pPr>
      <w:r w:rsidRPr="00B353CE">
        <w:rPr>
          <w:b/>
        </w:rPr>
        <w:t xml:space="preserve">ОЦЕНКА ЗА СЪОТВЕТСТВИЕ </w:t>
      </w:r>
      <w:r>
        <w:rPr>
          <w:b/>
        </w:rPr>
        <w:t xml:space="preserve">НА БИЗНЕС ПЛАНА </w:t>
      </w:r>
      <w:r w:rsidRPr="00B353CE">
        <w:rPr>
          <w:b/>
        </w:rPr>
        <w:t>С ЦЕЛИТЕ НА МЯРКАТА</w:t>
      </w:r>
    </w:p>
    <w:p w:rsidR="00A51A73" w:rsidRDefault="00A51A73" w:rsidP="00A51A73"/>
    <w:p w:rsidR="00A51A73" w:rsidRDefault="00A51A73" w:rsidP="00A51A73">
      <w:r>
        <w:rPr>
          <w:lang w:val="ru-RU"/>
        </w:rPr>
        <w:t>ПРОЕКТЪТ</w:t>
      </w:r>
      <w:r w:rsidR="00E0405C">
        <w:rPr>
          <w:lang w:val="ru-RU"/>
        </w:rPr>
        <w:t xml:space="preserve"> </w:t>
      </w:r>
      <w:r>
        <w:rPr>
          <w:lang w:val="ru-RU"/>
        </w:rPr>
        <w:t>/</w:t>
      </w:r>
      <w:r w:rsidR="00E0405C">
        <w:rPr>
          <w:lang w:val="ru-RU"/>
        </w:rPr>
        <w:t xml:space="preserve"> </w:t>
      </w:r>
      <w:r>
        <w:rPr>
          <w:lang w:val="ru-RU"/>
        </w:rPr>
        <w:t>БИЗНЕС ПЛАНЪТ ТРЯБВА ДА ВОДИ ДО ПОСТИГАНЕ НА ЦЕЛ</w:t>
      </w:r>
      <w:r w:rsidR="00E0405C">
        <w:rPr>
          <w:lang w:val="ru-RU"/>
        </w:rPr>
        <w:t xml:space="preserve">ТА </w:t>
      </w:r>
      <w:r>
        <w:rPr>
          <w:lang w:val="ru-RU"/>
        </w:rPr>
        <w:t>НА МЯРКАТА.</w:t>
      </w:r>
    </w:p>
    <w:tbl>
      <w:tblPr>
        <w:tblW w:w="100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420"/>
        <w:gridCol w:w="3684"/>
      </w:tblGrid>
      <w:tr w:rsidR="00A51A73" w:rsidRPr="00604278" w:rsidTr="00355778">
        <w:tc>
          <w:tcPr>
            <w:tcW w:w="4962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E0405C" w:rsidP="00E0405C">
            <w:pPr>
              <w:tabs>
                <w:tab w:val="left" w:pos="8175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ЦЕЛ</w:t>
            </w:r>
            <w:r w:rsidR="00A51A7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/ СРЕДСТВА ЗА ПОСТИГАНЕ НА ЦЕЛТА В БИЗНЕС ПЛАНА</w:t>
            </w:r>
            <w:proofErr w:type="gramEnd"/>
          </w:p>
        </w:tc>
        <w:tc>
          <w:tcPr>
            <w:tcW w:w="1420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ДА/НЕ </w:t>
            </w:r>
          </w:p>
        </w:tc>
        <w:tc>
          <w:tcPr>
            <w:tcW w:w="3684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МОТИВИ</w:t>
            </w:r>
            <w:r w:rsidRPr="00604278">
              <w:rPr>
                <w:b/>
              </w:rPr>
              <w:t xml:space="preserve"> </w:t>
            </w:r>
          </w:p>
        </w:tc>
      </w:tr>
      <w:tr w:rsidR="00A51A73" w:rsidRPr="00E936DA" w:rsidTr="00355778">
        <w:tc>
          <w:tcPr>
            <w:tcW w:w="10066" w:type="dxa"/>
            <w:gridSpan w:val="3"/>
          </w:tcPr>
          <w:p w:rsidR="00A51A73" w:rsidRPr="00A52BEC" w:rsidRDefault="00A52BEC" w:rsidP="00A52BEC">
            <w:pPr>
              <w:tabs>
                <w:tab w:val="left" w:pos="8175"/>
              </w:tabs>
              <w:rPr>
                <w:b/>
                <w:color w:val="000000"/>
              </w:rPr>
            </w:pPr>
            <w:r w:rsidRPr="007C0737">
              <w:rPr>
                <w:b/>
                <w:color w:val="000000"/>
              </w:rPr>
              <w:t>Подобряване ефективността на земеделските стопанства в конкурентни за територията отрасли и развитие на селско стопан</w:t>
            </w:r>
            <w:r>
              <w:rPr>
                <w:b/>
                <w:color w:val="000000"/>
              </w:rPr>
              <w:t xml:space="preserve">ство с висока добавена стойност чрез: </w:t>
            </w: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2BEC" w:rsidRPr="00E936DA" w:rsidTr="00355778">
        <w:tc>
          <w:tcPr>
            <w:tcW w:w="4962" w:type="dxa"/>
          </w:tcPr>
          <w:p w:rsidR="00A52BEC" w:rsidRPr="00A52BEC" w:rsidRDefault="00A52BEC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2BEC" w:rsidRPr="00E936DA" w:rsidRDefault="00A52BEC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2BEC" w:rsidRPr="00E936DA" w:rsidRDefault="00A52BEC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C50161" w:rsidTr="00355778">
        <w:tc>
          <w:tcPr>
            <w:tcW w:w="4962" w:type="dxa"/>
            <w:shd w:val="clear" w:color="auto" w:fill="F2F2F2"/>
          </w:tcPr>
          <w:p w:rsidR="00A51A73" w:rsidRPr="00C50161" w:rsidRDefault="00A51A73" w:rsidP="00355778">
            <w:pPr>
              <w:ind w:left="34"/>
              <w:rPr>
                <w:b/>
                <w:lang w:val="ru-RU"/>
              </w:rPr>
            </w:pPr>
            <w:proofErr w:type="gramStart"/>
            <w:r w:rsidRPr="00C50161">
              <w:rPr>
                <w:b/>
                <w:lang w:val="ru-RU"/>
              </w:rPr>
              <w:t xml:space="preserve">Общ </w:t>
            </w:r>
            <w:proofErr w:type="spellStart"/>
            <w:r w:rsidRPr="00C50161">
              <w:rPr>
                <w:b/>
                <w:lang w:val="ru-RU"/>
              </w:rPr>
              <w:t>брой</w:t>
            </w:r>
            <w:proofErr w:type="spellEnd"/>
            <w:r w:rsidRPr="00C50161">
              <w:rPr>
                <w:b/>
                <w:lang w:val="ru-RU"/>
              </w:rPr>
              <w:t xml:space="preserve"> отговори</w:t>
            </w:r>
            <w:proofErr w:type="gramEnd"/>
            <w:r w:rsidRPr="00C50161">
              <w:rPr>
                <w:b/>
                <w:lang w:val="ru-RU"/>
              </w:rPr>
              <w:t xml:space="preserve">  ДА</w:t>
            </w:r>
          </w:p>
        </w:tc>
        <w:tc>
          <w:tcPr>
            <w:tcW w:w="1420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/>
    <w:p w:rsidR="00A51A73" w:rsidRPr="001A7658" w:rsidRDefault="00A51A73" w:rsidP="00A51A73">
      <w:pPr>
        <w:rPr>
          <w:b/>
        </w:rPr>
      </w:pPr>
      <w:r w:rsidRPr="001A7658">
        <w:rPr>
          <w:b/>
        </w:rPr>
        <w:t xml:space="preserve">РЕАЛИЗАЦИЯТА НА ДЕЙНОСТИТЕ ОТ БИЗНЕС ПЛАНА ЩЕ ДОВЕДЕ ЛИ ДО ПОСТИГАНЕ НА </w:t>
      </w:r>
      <w:r w:rsidR="00E0405C">
        <w:rPr>
          <w:b/>
        </w:rPr>
        <w:t>ЦЕЛТА</w:t>
      </w:r>
      <w:r w:rsidRPr="001A7658">
        <w:rPr>
          <w:b/>
        </w:rPr>
        <w:t xml:space="preserve"> НА МЯРКАТА?</w:t>
      </w:r>
    </w:p>
    <w:p w:rsidR="00A51A73" w:rsidRDefault="00A51A73" w:rsidP="00A51A73"/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 xml:space="preserve">НЕ, БИЗНЕС ПЛАНЪТ/ИНВЕСТИЦИИТЕ ПО ПРОЕКТА НЕ ВОДЯТ ДО ПОСТИГАНЕ НА </w:t>
      </w:r>
      <w:r w:rsidR="00E0405C">
        <w:t>ЦЕЛТА НА МЯРКАТА</w:t>
      </w:r>
      <w:r>
        <w:t xml:space="preserve">. </w:t>
      </w:r>
    </w:p>
    <w:p w:rsidR="00A51A73" w:rsidRDefault="00A51A73" w:rsidP="00A51A73"/>
    <w:p w:rsidR="00A51A73" w:rsidRPr="00A3138D" w:rsidRDefault="00A51A73" w:rsidP="00A51A73">
      <w:pPr>
        <w:jc w:val="center"/>
        <w:rPr>
          <w:b/>
          <w:i/>
        </w:rPr>
      </w:pPr>
      <w:r w:rsidRPr="00A3138D">
        <w:rPr>
          <w:b/>
          <w:i/>
        </w:rPr>
        <w:t xml:space="preserve">Даденият тук отговор се пренася в раздела „Оценка на бизнес плана” на основния контролен лист за проверка на административното съответствие и допустимостта. 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/>
    <w:p w:rsidR="00A51A73" w:rsidRPr="00745DB4" w:rsidRDefault="00A51A73" w:rsidP="00A51A73">
      <w:r>
        <w:t>ИЗВЪРШИЛ ПРОВЕРКАТА</w:t>
      </w:r>
      <w:r w:rsidRPr="00745DB4">
        <w:t>:______________________________________</w:t>
      </w:r>
      <w:r>
        <w:t xml:space="preserve"> - .........................</w:t>
      </w:r>
    </w:p>
    <w:p w:rsidR="00A51A73" w:rsidRDefault="00A51A73" w:rsidP="00A51A73">
      <w:pPr>
        <w:jc w:val="center"/>
      </w:pPr>
    </w:p>
    <w:p w:rsidR="00A51A73" w:rsidRPr="002D30A9" w:rsidRDefault="00A51A73" w:rsidP="00A51A73">
      <w:pPr>
        <w:rPr>
          <w:i/>
        </w:rPr>
      </w:pPr>
      <w:r w:rsidRPr="002D30A9">
        <w:rPr>
          <w:i/>
        </w:rPr>
        <w:t xml:space="preserve">                                                          /име и подпис/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89460B" w:rsidRDefault="0089460B"/>
    <w:sectPr w:rsidR="0089460B" w:rsidSect="00B353CE">
      <w:headerReference w:type="even" r:id="rId13"/>
      <w:headerReference w:type="default" r:id="rId14"/>
      <w:footerReference w:type="default" r:id="rId15"/>
      <w:pgSz w:w="11906" w:h="16838"/>
      <w:pgMar w:top="567" w:right="991" w:bottom="567" w:left="993" w:header="53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C23" w:rsidRPr="000E10D6" w:rsidRDefault="00B54C2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B54C23" w:rsidRPr="000E10D6" w:rsidRDefault="00B54C2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EC" w:rsidRPr="009B49DA" w:rsidRDefault="00A52BEC" w:rsidP="00A52BEC">
    <w:pPr>
      <w:pStyle w:val="a5"/>
      <w:jc w:val="center"/>
      <w:rPr>
        <w:sz w:val="20"/>
      </w:rPr>
    </w:pPr>
    <w:r w:rsidRPr="00CA47C7">
      <w:rPr>
        <w:sz w:val="20"/>
      </w:rPr>
      <w:t>Сдружение „Местна инициа</w:t>
    </w:r>
    <w:r>
      <w:rPr>
        <w:sz w:val="20"/>
      </w:rPr>
      <w:t>тивна група – Елхово –Болярово“, Споразумение № РД 50-143/21.10.2018 г.</w:t>
    </w:r>
  </w:p>
  <w:p w:rsidR="004821E1" w:rsidRPr="00A52BEC" w:rsidRDefault="00A52BEC" w:rsidP="00A52BEC">
    <w:pPr>
      <w:pStyle w:val="a5"/>
      <w:jc w:val="center"/>
      <w:rPr>
        <w:sz w:val="20"/>
        <w:lang w:val="en-US"/>
      </w:rPr>
    </w:pPr>
    <w:r w:rsidRPr="00CA47C7">
      <w:rPr>
        <w:sz w:val="20"/>
      </w:rPr>
      <w:t xml:space="preserve">Град Елхово, ул. Калоян № 13, </w:t>
    </w:r>
    <w:proofErr w:type="spellStart"/>
    <w:r w:rsidRPr="00CA47C7">
      <w:rPr>
        <w:sz w:val="20"/>
      </w:rPr>
      <w:t>ет</w:t>
    </w:r>
    <w:proofErr w:type="spellEnd"/>
    <w:r w:rsidRPr="00CA47C7">
      <w:rPr>
        <w:sz w:val="20"/>
      </w:rPr>
      <w:t xml:space="preserve"> 2, </w:t>
    </w:r>
    <w:hyperlink r:id="rId1" w:history="1">
      <w:r w:rsidRPr="00CA47C7">
        <w:rPr>
          <w:rStyle w:val="aa"/>
          <w:sz w:val="20"/>
          <w:lang w:val="en-US"/>
        </w:rPr>
        <w:t>www.migelhovo.org</w:t>
      </w:r>
    </w:hyperlink>
    <w:r w:rsidRPr="00CA47C7">
      <w:rPr>
        <w:sz w:val="20"/>
        <w:lang w:val="en-US"/>
      </w:rPr>
      <w:t xml:space="preserve">, e-mail: </w:t>
    </w:r>
    <w:hyperlink r:id="rId2" w:history="1">
      <w:r w:rsidRPr="00CA47C7">
        <w:rPr>
          <w:rStyle w:val="aa"/>
          <w:sz w:val="20"/>
          <w:lang w:val="en-US"/>
        </w:rPr>
        <w:t>office@migelhovo.org</w:t>
      </w:r>
    </w:hyperlink>
  </w:p>
  <w:p w:rsidR="004821E1" w:rsidRPr="008C1D59" w:rsidRDefault="00E36B25" w:rsidP="004821E1">
    <w:pPr>
      <w:pStyle w:val="a5"/>
      <w:tabs>
        <w:tab w:val="clear" w:pos="9072"/>
        <w:tab w:val="right" w:pos="9923"/>
      </w:tabs>
    </w:pP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</w:rPr>
      <w:t xml:space="preserve">Стр.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PAGE </w:instrText>
    </w:r>
    <w:r w:rsidR="00C9555C" w:rsidRPr="008C1D59">
      <w:rPr>
        <w:i/>
        <w:sz w:val="16"/>
        <w:szCs w:val="16"/>
      </w:rPr>
      <w:fldChar w:fldCharType="separate"/>
    </w:r>
    <w:r w:rsidR="00D8535C">
      <w:rPr>
        <w:i/>
        <w:noProof/>
        <w:sz w:val="16"/>
        <w:szCs w:val="16"/>
      </w:rPr>
      <w:t>1</w:t>
    </w:r>
    <w:r w:rsidR="00C9555C" w:rsidRPr="008C1D59">
      <w:rPr>
        <w:i/>
        <w:sz w:val="16"/>
        <w:szCs w:val="16"/>
      </w:rPr>
      <w:fldChar w:fldCharType="end"/>
    </w:r>
    <w:r w:rsidRPr="008C1D59">
      <w:rPr>
        <w:i/>
        <w:sz w:val="16"/>
        <w:szCs w:val="16"/>
      </w:rPr>
      <w:t xml:space="preserve"> от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NUMPAGES </w:instrText>
    </w:r>
    <w:r w:rsidR="00C9555C" w:rsidRPr="008C1D59">
      <w:rPr>
        <w:i/>
        <w:sz w:val="16"/>
        <w:szCs w:val="16"/>
      </w:rPr>
      <w:fldChar w:fldCharType="separate"/>
    </w:r>
    <w:r w:rsidR="00D8535C">
      <w:rPr>
        <w:i/>
        <w:noProof/>
        <w:sz w:val="16"/>
        <w:szCs w:val="16"/>
      </w:rPr>
      <w:t>5</w:t>
    </w:r>
    <w:r w:rsidR="00C9555C" w:rsidRPr="008C1D59">
      <w:rPr>
        <w:i/>
        <w:sz w:val="16"/>
        <w:szCs w:val="16"/>
      </w:rPr>
      <w:fldChar w:fldCharType="end"/>
    </w:r>
  </w:p>
  <w:p w:rsidR="00FB0AFC" w:rsidRPr="006E183A" w:rsidRDefault="00B54C23" w:rsidP="00691D7F">
    <w:pPr>
      <w:pStyle w:val="a5"/>
      <w:rPr>
        <w:rFonts w:ascii="Time Roman" w:hAnsi="Time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C23" w:rsidRPr="000E10D6" w:rsidRDefault="00B54C2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B54C23" w:rsidRPr="000E10D6" w:rsidRDefault="00B54C2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4B" w:rsidRDefault="00E36B25" w:rsidP="00DA0C4B">
    <w:pPr>
      <w:pStyle w:val="a3"/>
      <w:tabs>
        <w:tab w:val="clear" w:pos="4536"/>
        <w:tab w:val="clear" w:pos="9072"/>
        <w:tab w:val="left" w:pos="435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9147"/>
    </w:tblGrid>
    <w:tr w:rsidR="00A52BEC" w:rsidRPr="000970E8" w:rsidTr="003117FA">
      <w:trPr>
        <w:jc w:val="right"/>
      </w:trPr>
      <w:tc>
        <w:tcPr>
          <w:tcW w:w="9147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A52BEC" w:rsidRPr="000970E8" w:rsidTr="003117FA">
            <w:tc>
              <w:tcPr>
                <w:tcW w:w="1701" w:type="dxa"/>
                <w:shd w:val="clear" w:color="auto" w:fill="auto"/>
              </w:tcPr>
              <w:p w:rsidR="00A52BEC" w:rsidRPr="000970E8" w:rsidRDefault="00A52BEC" w:rsidP="003117FA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139F45E0" wp14:editId="6048546D">
                      <wp:extent cx="804545" cy="54102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52BEC" w:rsidRPr="000970E8" w:rsidRDefault="00A52BEC" w:rsidP="003117FA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1DBC053" wp14:editId="766E0B1D">
                      <wp:extent cx="585470" cy="541020"/>
                      <wp:effectExtent l="0" t="0" r="5080" b="0"/>
                      <wp:docPr id="7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76AD4501" wp14:editId="703D1FBC">
                      <wp:extent cx="541020" cy="541020"/>
                      <wp:effectExtent l="0" t="0" r="0" b="0"/>
                      <wp:docPr id="8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73F7708C" wp14:editId="76A5916F">
                      <wp:extent cx="1353185" cy="577850"/>
                      <wp:effectExtent l="0" t="0" r="0" b="0"/>
                      <wp:docPr id="9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A52BEC" w:rsidRPr="000970E8" w:rsidRDefault="00A52BEC" w:rsidP="003117FA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48C942CA" wp14:editId="6C1415C6">
                      <wp:extent cx="826770" cy="541020"/>
                      <wp:effectExtent l="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52BEC" w:rsidRPr="000970E8" w:rsidRDefault="00A52BEC" w:rsidP="003117FA">
          <w:pPr>
            <w:widowControl w:val="0"/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A52BEC" w:rsidRPr="000970E8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A52BEC" w:rsidRPr="000970E8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A52BEC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  <w:p w:rsidR="00A52BEC" w:rsidRPr="0032249C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8E2147" w:rsidRPr="00A52BEC" w:rsidRDefault="00A52BEC" w:rsidP="00A52BEC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8"/>
        <w:szCs w:val="28"/>
        <w:lang w:val="en-US"/>
      </w:rPr>
    </w:pPr>
    <w:r w:rsidRPr="00D7461A">
      <w:rPr>
        <w:b/>
        <w:snapToGrid w:val="0"/>
        <w:sz w:val="28"/>
        <w:szCs w:val="28"/>
        <w:lang w:val="ru-RU"/>
      </w:rPr>
      <w:t xml:space="preserve">СНЦ „МЕСТНА ИНИЦИАТИВНА ГРУПА – </w:t>
    </w:r>
    <w:r>
      <w:rPr>
        <w:b/>
        <w:snapToGrid w:val="0"/>
        <w:sz w:val="28"/>
        <w:szCs w:val="28"/>
      </w:rPr>
      <w:t>ЕЛХОВО – БОЛЯРОВО”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553"/>
    <w:multiLevelType w:val="hybridMultilevel"/>
    <w:tmpl w:val="0ED8E91A"/>
    <w:lvl w:ilvl="0" w:tplc="9618A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625595"/>
    <w:multiLevelType w:val="hybridMultilevel"/>
    <w:tmpl w:val="244E3ED2"/>
    <w:lvl w:ilvl="0" w:tplc="34D081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7EAA0C70"/>
    <w:multiLevelType w:val="hybridMultilevel"/>
    <w:tmpl w:val="66BA8702"/>
    <w:lvl w:ilvl="0" w:tplc="A4EA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73"/>
    <w:rsid w:val="001F5A76"/>
    <w:rsid w:val="002D0589"/>
    <w:rsid w:val="004A7459"/>
    <w:rsid w:val="006752FE"/>
    <w:rsid w:val="006B753E"/>
    <w:rsid w:val="007B0E7A"/>
    <w:rsid w:val="00820E49"/>
    <w:rsid w:val="008449A6"/>
    <w:rsid w:val="00855E8C"/>
    <w:rsid w:val="0089460B"/>
    <w:rsid w:val="00A178F3"/>
    <w:rsid w:val="00A51A73"/>
    <w:rsid w:val="00A52BEC"/>
    <w:rsid w:val="00B54C23"/>
    <w:rsid w:val="00C52A48"/>
    <w:rsid w:val="00C9555C"/>
    <w:rsid w:val="00CB6A26"/>
    <w:rsid w:val="00D72E82"/>
    <w:rsid w:val="00D8535C"/>
    <w:rsid w:val="00E0405C"/>
    <w:rsid w:val="00E36B25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unhideWhenUsed/>
    <w:rsid w:val="00A52BEC"/>
    <w:rPr>
      <w:strike w:val="0"/>
      <w:dstrike w:val="0"/>
      <w:color w:val="33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unhideWhenUsed/>
    <w:rsid w:val="00A52BEC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ACER</cp:lastModifiedBy>
  <cp:revision>5</cp:revision>
  <dcterms:created xsi:type="dcterms:W3CDTF">2018-09-21T09:12:00Z</dcterms:created>
  <dcterms:modified xsi:type="dcterms:W3CDTF">2018-10-25T10:20:00Z</dcterms:modified>
</cp:coreProperties>
</file>